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B20" w:rsidRPr="005B1B20" w:rsidRDefault="005B1B20" w:rsidP="005B1B20">
      <w:pPr>
        <w:autoSpaceDE w:val="0"/>
        <w:autoSpaceDN w:val="0"/>
        <w:adjustRightInd w:val="0"/>
        <w:spacing w:after="0" w:line="240" w:lineRule="auto"/>
        <w:rPr>
          <w:rFonts w:ascii="Arial" w:hAnsi="Arial" w:cs="Arial"/>
          <w:b/>
          <w:bCs/>
          <w:color w:val="000000"/>
          <w:sz w:val="32"/>
          <w:szCs w:val="20"/>
        </w:rPr>
      </w:pPr>
      <w:r w:rsidRPr="005B1B20">
        <w:rPr>
          <w:rFonts w:ascii="Arial" w:hAnsi="Arial" w:cs="Arial"/>
          <w:b/>
          <w:bCs/>
          <w:color w:val="000000"/>
          <w:sz w:val="32"/>
          <w:szCs w:val="20"/>
        </w:rPr>
        <w:t>3322. la détermination de la capacité d’autofinancement</w:t>
      </w:r>
    </w:p>
    <w:p w:rsidR="005B1B20" w:rsidRPr="005B1B20" w:rsidRDefault="005B1B20" w:rsidP="005B1B20">
      <w:pPr>
        <w:autoSpaceDE w:val="0"/>
        <w:autoSpaceDN w:val="0"/>
        <w:adjustRightInd w:val="0"/>
        <w:spacing w:after="0" w:line="240" w:lineRule="auto"/>
        <w:rPr>
          <w:rFonts w:ascii="Arial" w:hAnsi="Arial" w:cs="Arial"/>
          <w:b/>
          <w:bCs/>
          <w:color w:val="3365FF"/>
          <w:sz w:val="28"/>
          <w:szCs w:val="20"/>
        </w:rPr>
      </w:pPr>
      <w:r w:rsidRPr="005B1B20">
        <w:rPr>
          <w:rFonts w:ascii="Arial" w:hAnsi="Arial" w:cs="Arial"/>
          <w:b/>
          <w:bCs/>
          <w:color w:val="3365FF"/>
          <w:sz w:val="28"/>
          <w:szCs w:val="20"/>
        </w:rPr>
        <w:t>33221. Définition</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La capacité d'autofinancement correspond au surplus monétaire potentiel dégagé par les opérations de gestion de l'établissement.</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Elle représente donc l'excédent des ressources internes dégagées par l'activité de l'établissement et peut s'analyser comme une ressource durable.</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Au-delà de la détermination du résultat, qui correspond à la différence entre tous les produits et toutes les charges, la CAF représente le résultat des seules opérations susceptibles d'avoir une action sur la trésorerie.</w:t>
      </w:r>
    </w:p>
    <w:p w:rsidR="005B1B20" w:rsidRDefault="005B1B20" w:rsidP="005B1B20">
      <w:pPr>
        <w:autoSpaceDE w:val="0"/>
        <w:autoSpaceDN w:val="0"/>
        <w:adjustRightInd w:val="0"/>
        <w:spacing w:after="0" w:line="240" w:lineRule="auto"/>
        <w:rPr>
          <w:rFonts w:ascii="Arial" w:hAnsi="Arial" w:cs="Arial"/>
          <w:i/>
          <w:iCs/>
          <w:color w:val="000000"/>
          <w:sz w:val="20"/>
          <w:szCs w:val="20"/>
        </w:rPr>
      </w:pPr>
      <w:r>
        <w:rPr>
          <w:rFonts w:ascii="Arial" w:hAnsi="Arial" w:cs="Arial"/>
          <w:i/>
          <w:iCs/>
          <w:color w:val="000000"/>
          <w:sz w:val="20"/>
          <w:szCs w:val="20"/>
        </w:rPr>
        <w:t>Nota : lorsqu’un établissement neutralise tous les amortissements et ne réalise pas de provisions pour risques ou charges, le résultat et la capacité d’autofinancement se confondent.</w:t>
      </w:r>
    </w:p>
    <w:p w:rsidR="005B1B20" w:rsidRPr="005B1B20" w:rsidRDefault="005B1B20" w:rsidP="005B1B20">
      <w:pPr>
        <w:autoSpaceDE w:val="0"/>
        <w:autoSpaceDN w:val="0"/>
        <w:adjustRightInd w:val="0"/>
        <w:spacing w:after="0" w:line="240" w:lineRule="auto"/>
        <w:rPr>
          <w:rFonts w:ascii="Arial" w:hAnsi="Arial" w:cs="Arial"/>
          <w:b/>
          <w:bCs/>
          <w:color w:val="3365FF"/>
          <w:sz w:val="28"/>
          <w:szCs w:val="20"/>
        </w:rPr>
      </w:pPr>
      <w:r w:rsidRPr="005B1B20">
        <w:rPr>
          <w:rFonts w:ascii="Arial" w:hAnsi="Arial" w:cs="Arial"/>
          <w:b/>
          <w:bCs/>
          <w:color w:val="3365FF"/>
          <w:sz w:val="28"/>
          <w:szCs w:val="20"/>
        </w:rPr>
        <w:t>33222. Calcul</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La CAF se détermine en comptabilité selon deux méthodes : la méthode soustractive et la méthode additive. C'est cette dernière méthode qui a été retenue pour le cadre budgétaire des établissements publics locaux d’enseignement.</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La CAF, ou IAF en cas de capacité négative, se calcule à partir du compte de résultat et fait appel aux notions de charges </w:t>
      </w:r>
      <w:proofErr w:type="spellStart"/>
      <w:r>
        <w:rPr>
          <w:rFonts w:ascii="ArialMT" w:hAnsi="ArialMT" w:cs="ArialMT"/>
          <w:color w:val="000000"/>
          <w:sz w:val="20"/>
          <w:szCs w:val="20"/>
        </w:rPr>
        <w:t>décaissables</w:t>
      </w:r>
      <w:proofErr w:type="spellEnd"/>
      <w:r>
        <w:rPr>
          <w:rFonts w:ascii="ArialMT" w:hAnsi="ArialMT" w:cs="ArialMT"/>
          <w:color w:val="000000"/>
          <w:sz w:val="20"/>
          <w:szCs w:val="20"/>
        </w:rPr>
        <w:t xml:space="preserve"> et produits encaissables (charges et produits qui génèrent des flux de trésorerie).</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La CAF représente un surplus potentiel de trésorerie et correspond à la différence entre les produits encaissables et les charges </w:t>
      </w:r>
      <w:proofErr w:type="spellStart"/>
      <w:r>
        <w:rPr>
          <w:rFonts w:ascii="ArialMT" w:hAnsi="ArialMT" w:cs="ArialMT"/>
          <w:color w:val="000000"/>
          <w:sz w:val="20"/>
          <w:szCs w:val="20"/>
        </w:rPr>
        <w:t>décaissables</w:t>
      </w:r>
      <w:proofErr w:type="spellEnd"/>
      <w:r>
        <w:rPr>
          <w:rFonts w:ascii="ArialMT" w:hAnsi="ArialMT" w:cs="ArialMT"/>
          <w:color w:val="000000"/>
          <w:sz w:val="20"/>
          <w:szCs w:val="20"/>
        </w:rPr>
        <w:t>.</w:t>
      </w:r>
    </w:p>
    <w:p w:rsidR="005B1B20" w:rsidRPr="005B1B20" w:rsidRDefault="005B1B20" w:rsidP="005B1B20">
      <w:pPr>
        <w:autoSpaceDE w:val="0"/>
        <w:autoSpaceDN w:val="0"/>
        <w:adjustRightInd w:val="0"/>
        <w:spacing w:after="0" w:line="240" w:lineRule="auto"/>
        <w:rPr>
          <w:rFonts w:ascii="Arial" w:hAnsi="Arial" w:cs="Arial"/>
          <w:b/>
          <w:i/>
          <w:iCs/>
          <w:color w:val="000000"/>
          <w:sz w:val="24"/>
          <w:szCs w:val="20"/>
          <w:u w:val="single"/>
        </w:rPr>
      </w:pPr>
      <w:r w:rsidRPr="005B1B20">
        <w:rPr>
          <w:rFonts w:ascii="Arial" w:hAnsi="Arial" w:cs="Arial"/>
          <w:b/>
          <w:i/>
          <w:iCs/>
          <w:color w:val="000000"/>
          <w:sz w:val="24"/>
          <w:szCs w:val="20"/>
          <w:u w:val="single"/>
        </w:rPr>
        <w:t>Résultat net de l'exercice</w:t>
      </w:r>
    </w:p>
    <w:p w:rsidR="005B1B20" w:rsidRPr="005B1B20" w:rsidRDefault="005B1B20" w:rsidP="005B1B20">
      <w:pPr>
        <w:autoSpaceDE w:val="0"/>
        <w:autoSpaceDN w:val="0"/>
        <w:adjustRightInd w:val="0"/>
        <w:spacing w:after="0" w:line="240" w:lineRule="auto"/>
        <w:ind w:left="284"/>
        <w:rPr>
          <w:rFonts w:ascii="ArialMT" w:hAnsi="ArialMT" w:cs="ArialMT"/>
          <w:i/>
          <w:sz w:val="24"/>
          <w:szCs w:val="20"/>
        </w:rPr>
      </w:pPr>
      <w:r w:rsidRPr="005B1B20">
        <w:rPr>
          <w:rFonts w:ascii="ArialMT" w:hAnsi="ArialMT" w:cs="ArialMT"/>
          <w:i/>
          <w:color w:val="000000"/>
          <w:sz w:val="24"/>
          <w:szCs w:val="20"/>
        </w:rPr>
        <w:t>+ Dotations aux amortissements et aux provisions (C 68)</w:t>
      </w:r>
      <w:r>
        <w:rPr>
          <w:rFonts w:ascii="ArialMT" w:hAnsi="ArialMT" w:cs="ArialMT"/>
          <w:i/>
          <w:color w:val="000000"/>
          <w:sz w:val="24"/>
          <w:szCs w:val="20"/>
        </w:rPr>
        <w:t xml:space="preserve"> </w:t>
      </w:r>
      <w:r w:rsidRPr="005B1B20">
        <w:rPr>
          <w:rFonts w:ascii="ArialMT" w:hAnsi="ArialMT" w:cs="ArialMT"/>
          <w:i/>
          <w:color w:val="FF0000"/>
          <w:sz w:val="24"/>
          <w:szCs w:val="20"/>
        </w:rPr>
        <w:t xml:space="preserve">Charge non </w:t>
      </w:r>
      <w:proofErr w:type="spellStart"/>
      <w:r w:rsidRPr="005B1B20">
        <w:rPr>
          <w:rFonts w:ascii="ArialMT" w:hAnsi="ArialMT" w:cs="ArialMT"/>
          <w:i/>
          <w:color w:val="FF0000"/>
          <w:sz w:val="24"/>
          <w:szCs w:val="20"/>
        </w:rPr>
        <w:t>décaissable</w:t>
      </w:r>
      <w:proofErr w:type="spellEnd"/>
    </w:p>
    <w:p w:rsidR="005B1B20" w:rsidRPr="005B1B20" w:rsidRDefault="005B1B20" w:rsidP="005B1B20">
      <w:pPr>
        <w:autoSpaceDE w:val="0"/>
        <w:autoSpaceDN w:val="0"/>
        <w:adjustRightInd w:val="0"/>
        <w:spacing w:after="0" w:line="240" w:lineRule="auto"/>
        <w:ind w:left="284"/>
        <w:rPr>
          <w:rFonts w:ascii="ArialMT" w:hAnsi="ArialMT" w:cs="ArialMT"/>
          <w:i/>
          <w:color w:val="000000"/>
          <w:sz w:val="24"/>
          <w:szCs w:val="20"/>
        </w:rPr>
      </w:pPr>
      <w:r w:rsidRPr="005B1B20">
        <w:rPr>
          <w:rFonts w:ascii="ArialMT" w:hAnsi="ArialMT" w:cs="ArialMT"/>
          <w:i/>
          <w:color w:val="000000"/>
          <w:sz w:val="24"/>
          <w:szCs w:val="20"/>
        </w:rPr>
        <w:t>- Reprises sur provisions et amortissements (C78)</w:t>
      </w:r>
      <w:r w:rsidRPr="005B1B20">
        <w:rPr>
          <w:rFonts w:ascii="ArialMT" w:hAnsi="ArialMT" w:cs="ArialMT"/>
          <w:i/>
          <w:color w:val="FF0000"/>
          <w:sz w:val="24"/>
          <w:szCs w:val="20"/>
        </w:rPr>
        <w:t xml:space="preserve"> </w:t>
      </w:r>
      <w:r>
        <w:rPr>
          <w:rFonts w:ascii="ArialMT" w:hAnsi="ArialMT" w:cs="ArialMT"/>
          <w:i/>
          <w:color w:val="FF0000"/>
          <w:sz w:val="24"/>
          <w:szCs w:val="20"/>
        </w:rPr>
        <w:t>Produit</w:t>
      </w:r>
      <w:r w:rsidRPr="005B1B20">
        <w:rPr>
          <w:rFonts w:ascii="ArialMT" w:hAnsi="ArialMT" w:cs="ArialMT"/>
          <w:i/>
          <w:color w:val="FF0000"/>
          <w:sz w:val="24"/>
          <w:szCs w:val="20"/>
        </w:rPr>
        <w:t xml:space="preserve"> non </w:t>
      </w:r>
      <w:r>
        <w:rPr>
          <w:rFonts w:ascii="ArialMT" w:hAnsi="ArialMT" w:cs="ArialMT"/>
          <w:i/>
          <w:color w:val="FF0000"/>
          <w:sz w:val="24"/>
          <w:szCs w:val="20"/>
        </w:rPr>
        <w:t>en</w:t>
      </w:r>
      <w:r w:rsidRPr="005B1B20">
        <w:rPr>
          <w:rFonts w:ascii="ArialMT" w:hAnsi="ArialMT" w:cs="ArialMT"/>
          <w:i/>
          <w:color w:val="FF0000"/>
          <w:sz w:val="24"/>
          <w:szCs w:val="20"/>
        </w:rPr>
        <w:t>caissable</w:t>
      </w:r>
    </w:p>
    <w:p w:rsidR="005B1B20" w:rsidRPr="005B1B20" w:rsidRDefault="005B1B20" w:rsidP="005B1B20">
      <w:pPr>
        <w:autoSpaceDE w:val="0"/>
        <w:autoSpaceDN w:val="0"/>
        <w:adjustRightInd w:val="0"/>
        <w:spacing w:after="0" w:line="240" w:lineRule="auto"/>
        <w:ind w:left="284"/>
        <w:rPr>
          <w:rFonts w:ascii="ArialMT" w:hAnsi="ArialMT" w:cs="ArialMT"/>
          <w:i/>
          <w:color w:val="000000"/>
          <w:sz w:val="24"/>
          <w:szCs w:val="20"/>
        </w:rPr>
      </w:pPr>
      <w:r w:rsidRPr="005B1B20">
        <w:rPr>
          <w:rFonts w:ascii="ArialMT" w:hAnsi="ArialMT" w:cs="ArialMT"/>
          <w:i/>
          <w:color w:val="000000"/>
          <w:sz w:val="24"/>
          <w:szCs w:val="20"/>
        </w:rPr>
        <w:t>- Neutralisation des amortissements (C776)</w:t>
      </w:r>
      <w:r w:rsidRPr="005B1B20">
        <w:rPr>
          <w:rFonts w:ascii="ArialMT" w:hAnsi="ArialMT" w:cs="ArialMT"/>
          <w:i/>
          <w:color w:val="FF0000"/>
          <w:sz w:val="24"/>
          <w:szCs w:val="20"/>
        </w:rPr>
        <w:t xml:space="preserve"> </w:t>
      </w:r>
      <w:r>
        <w:rPr>
          <w:rFonts w:ascii="ArialMT" w:hAnsi="ArialMT" w:cs="ArialMT"/>
          <w:i/>
          <w:color w:val="FF0000"/>
          <w:sz w:val="24"/>
          <w:szCs w:val="20"/>
        </w:rPr>
        <w:t>Produit</w:t>
      </w:r>
      <w:r w:rsidRPr="005B1B20">
        <w:rPr>
          <w:rFonts w:ascii="ArialMT" w:hAnsi="ArialMT" w:cs="ArialMT"/>
          <w:i/>
          <w:color w:val="FF0000"/>
          <w:sz w:val="24"/>
          <w:szCs w:val="20"/>
        </w:rPr>
        <w:t xml:space="preserve"> non </w:t>
      </w:r>
      <w:r>
        <w:rPr>
          <w:rFonts w:ascii="ArialMT" w:hAnsi="ArialMT" w:cs="ArialMT"/>
          <w:i/>
          <w:color w:val="FF0000"/>
          <w:sz w:val="24"/>
          <w:szCs w:val="20"/>
        </w:rPr>
        <w:t>en</w:t>
      </w:r>
      <w:r w:rsidRPr="005B1B20">
        <w:rPr>
          <w:rFonts w:ascii="ArialMT" w:hAnsi="ArialMT" w:cs="ArialMT"/>
          <w:i/>
          <w:color w:val="FF0000"/>
          <w:sz w:val="24"/>
          <w:szCs w:val="20"/>
        </w:rPr>
        <w:t>caissabl</w:t>
      </w:r>
      <w:r>
        <w:rPr>
          <w:rFonts w:ascii="ArialMT" w:hAnsi="ArialMT" w:cs="ArialMT"/>
          <w:i/>
          <w:color w:val="FF0000"/>
          <w:sz w:val="24"/>
          <w:szCs w:val="20"/>
        </w:rPr>
        <w:t>e</w:t>
      </w:r>
    </w:p>
    <w:p w:rsidR="005B1B20" w:rsidRPr="005B1B20" w:rsidRDefault="005B1B20" w:rsidP="005B1B20">
      <w:pPr>
        <w:autoSpaceDE w:val="0"/>
        <w:autoSpaceDN w:val="0"/>
        <w:adjustRightInd w:val="0"/>
        <w:spacing w:after="0" w:line="240" w:lineRule="auto"/>
        <w:ind w:left="284"/>
        <w:rPr>
          <w:rFonts w:ascii="ArialMT" w:hAnsi="ArialMT" w:cs="ArialMT"/>
          <w:i/>
          <w:color w:val="000000"/>
          <w:sz w:val="24"/>
          <w:szCs w:val="20"/>
        </w:rPr>
      </w:pPr>
      <w:r w:rsidRPr="005B1B20">
        <w:rPr>
          <w:rFonts w:ascii="ArialMT" w:hAnsi="ArialMT" w:cs="ArialMT"/>
          <w:i/>
          <w:color w:val="000000"/>
          <w:sz w:val="24"/>
          <w:szCs w:val="20"/>
        </w:rPr>
        <w:t>+ Valeur nette comptable des éléments d'actifs cédés (C675)</w:t>
      </w:r>
      <w:r w:rsidRPr="005B1B20">
        <w:rPr>
          <w:rFonts w:ascii="ArialMT" w:hAnsi="ArialMT" w:cs="ArialMT"/>
          <w:i/>
          <w:color w:val="FF0000"/>
          <w:sz w:val="24"/>
          <w:szCs w:val="20"/>
        </w:rPr>
        <w:t xml:space="preserve"> Charge non </w:t>
      </w:r>
      <w:proofErr w:type="spellStart"/>
      <w:r w:rsidRPr="005B1B20">
        <w:rPr>
          <w:rFonts w:ascii="ArialMT" w:hAnsi="ArialMT" w:cs="ArialMT"/>
          <w:i/>
          <w:color w:val="FF0000"/>
          <w:sz w:val="24"/>
          <w:szCs w:val="20"/>
        </w:rPr>
        <w:t>décaissable</w:t>
      </w:r>
      <w:proofErr w:type="spellEnd"/>
    </w:p>
    <w:p w:rsidR="005B1B20" w:rsidRPr="005B1B20" w:rsidRDefault="005B1B20" w:rsidP="005B1B20">
      <w:pPr>
        <w:autoSpaceDE w:val="0"/>
        <w:autoSpaceDN w:val="0"/>
        <w:adjustRightInd w:val="0"/>
        <w:spacing w:after="0" w:line="240" w:lineRule="auto"/>
        <w:ind w:left="284"/>
        <w:rPr>
          <w:rFonts w:ascii="ArialMT" w:hAnsi="ArialMT" w:cs="ArialMT"/>
          <w:i/>
          <w:color w:val="000000"/>
          <w:sz w:val="24"/>
          <w:szCs w:val="20"/>
        </w:rPr>
      </w:pPr>
      <w:r w:rsidRPr="005B1B20">
        <w:rPr>
          <w:rFonts w:ascii="ArialMT" w:hAnsi="ArialMT" w:cs="ArialMT"/>
          <w:i/>
          <w:color w:val="000000"/>
          <w:sz w:val="24"/>
          <w:szCs w:val="20"/>
        </w:rPr>
        <w:t>- Produits des cessions d'éléments d'actifs (C775)</w:t>
      </w:r>
      <w:r w:rsidRPr="005B1B20">
        <w:rPr>
          <w:rFonts w:ascii="ArialMT" w:hAnsi="ArialMT" w:cs="ArialMT"/>
          <w:i/>
          <w:color w:val="FF0000"/>
          <w:sz w:val="24"/>
          <w:szCs w:val="20"/>
        </w:rPr>
        <w:t xml:space="preserve"> </w:t>
      </w:r>
      <w:r>
        <w:rPr>
          <w:rFonts w:ascii="ArialMT" w:hAnsi="ArialMT" w:cs="ArialMT"/>
          <w:i/>
          <w:color w:val="FF0000"/>
          <w:sz w:val="24"/>
          <w:szCs w:val="20"/>
        </w:rPr>
        <w:t>Produit</w:t>
      </w:r>
      <w:r w:rsidRPr="005B1B20">
        <w:rPr>
          <w:rFonts w:ascii="ArialMT" w:hAnsi="ArialMT" w:cs="ArialMT"/>
          <w:i/>
          <w:color w:val="FF0000"/>
          <w:sz w:val="24"/>
          <w:szCs w:val="20"/>
        </w:rPr>
        <w:t xml:space="preserve"> non </w:t>
      </w:r>
      <w:r>
        <w:rPr>
          <w:rFonts w:ascii="ArialMT" w:hAnsi="ArialMT" w:cs="ArialMT"/>
          <w:i/>
          <w:color w:val="FF0000"/>
          <w:sz w:val="24"/>
          <w:szCs w:val="20"/>
        </w:rPr>
        <w:t>en</w:t>
      </w:r>
      <w:r w:rsidRPr="005B1B20">
        <w:rPr>
          <w:rFonts w:ascii="ArialMT" w:hAnsi="ArialMT" w:cs="ArialMT"/>
          <w:i/>
          <w:color w:val="FF0000"/>
          <w:sz w:val="24"/>
          <w:szCs w:val="20"/>
        </w:rPr>
        <w:t>caissabl</w:t>
      </w:r>
      <w:r>
        <w:rPr>
          <w:rFonts w:ascii="ArialMT" w:hAnsi="ArialMT" w:cs="ArialMT"/>
          <w:i/>
          <w:color w:val="FF0000"/>
          <w:sz w:val="24"/>
          <w:szCs w:val="20"/>
        </w:rPr>
        <w:t>e</w:t>
      </w:r>
    </w:p>
    <w:p w:rsidR="005B1B20" w:rsidRPr="005B1B20" w:rsidRDefault="005B1B20" w:rsidP="005B1B20">
      <w:pPr>
        <w:autoSpaceDE w:val="0"/>
        <w:autoSpaceDN w:val="0"/>
        <w:adjustRightInd w:val="0"/>
        <w:spacing w:after="0" w:line="240" w:lineRule="auto"/>
        <w:ind w:left="284"/>
        <w:rPr>
          <w:rFonts w:ascii="ArialMT" w:hAnsi="ArialMT" w:cs="ArialMT"/>
          <w:i/>
          <w:color w:val="000000"/>
          <w:sz w:val="24"/>
          <w:szCs w:val="20"/>
        </w:rPr>
      </w:pPr>
      <w:r w:rsidRPr="005B1B20">
        <w:rPr>
          <w:rFonts w:ascii="ArialMT" w:hAnsi="ArialMT" w:cs="ArialMT"/>
          <w:i/>
          <w:color w:val="000000"/>
          <w:sz w:val="24"/>
          <w:szCs w:val="20"/>
        </w:rPr>
        <w:t>- Quote-part des subventions d'investissement virées au résultat de l'exercice</w:t>
      </w:r>
    </w:p>
    <w:p w:rsidR="005B1B20" w:rsidRPr="005B1B20" w:rsidRDefault="005B1B20" w:rsidP="005B1B20">
      <w:pPr>
        <w:autoSpaceDE w:val="0"/>
        <w:autoSpaceDN w:val="0"/>
        <w:adjustRightInd w:val="0"/>
        <w:spacing w:after="0" w:line="240" w:lineRule="auto"/>
        <w:ind w:left="284"/>
        <w:rPr>
          <w:rFonts w:ascii="ArialMT" w:hAnsi="ArialMT" w:cs="ArialMT"/>
          <w:i/>
          <w:color w:val="000000"/>
          <w:sz w:val="24"/>
          <w:szCs w:val="20"/>
        </w:rPr>
      </w:pPr>
      <w:r w:rsidRPr="005B1B20">
        <w:rPr>
          <w:rFonts w:ascii="ArialMT" w:hAnsi="ArialMT" w:cs="ArialMT"/>
          <w:i/>
          <w:color w:val="000000"/>
          <w:sz w:val="24"/>
          <w:szCs w:val="20"/>
        </w:rPr>
        <w:t>(C777)</w:t>
      </w:r>
      <w:r w:rsidRPr="005B1B20">
        <w:rPr>
          <w:rFonts w:ascii="ArialMT" w:hAnsi="ArialMT" w:cs="ArialMT"/>
          <w:i/>
          <w:color w:val="FF0000"/>
          <w:sz w:val="24"/>
          <w:szCs w:val="20"/>
        </w:rPr>
        <w:t xml:space="preserve"> </w:t>
      </w:r>
      <w:r>
        <w:rPr>
          <w:rFonts w:ascii="ArialMT" w:hAnsi="ArialMT" w:cs="ArialMT"/>
          <w:i/>
          <w:color w:val="FF0000"/>
          <w:sz w:val="24"/>
          <w:szCs w:val="20"/>
        </w:rPr>
        <w:t>Produit</w:t>
      </w:r>
      <w:r w:rsidRPr="005B1B20">
        <w:rPr>
          <w:rFonts w:ascii="ArialMT" w:hAnsi="ArialMT" w:cs="ArialMT"/>
          <w:i/>
          <w:color w:val="FF0000"/>
          <w:sz w:val="24"/>
          <w:szCs w:val="20"/>
        </w:rPr>
        <w:t xml:space="preserve"> non </w:t>
      </w:r>
      <w:r>
        <w:rPr>
          <w:rFonts w:ascii="ArialMT" w:hAnsi="ArialMT" w:cs="ArialMT"/>
          <w:i/>
          <w:color w:val="FF0000"/>
          <w:sz w:val="24"/>
          <w:szCs w:val="20"/>
        </w:rPr>
        <w:t>en</w:t>
      </w:r>
      <w:r w:rsidRPr="005B1B20">
        <w:rPr>
          <w:rFonts w:ascii="ArialMT" w:hAnsi="ArialMT" w:cs="ArialMT"/>
          <w:i/>
          <w:color w:val="FF0000"/>
          <w:sz w:val="24"/>
          <w:szCs w:val="20"/>
        </w:rPr>
        <w:t>caissabl</w:t>
      </w:r>
      <w:r>
        <w:rPr>
          <w:rFonts w:ascii="ArialMT" w:hAnsi="ArialMT" w:cs="ArialMT"/>
          <w:i/>
          <w:color w:val="FF0000"/>
          <w:sz w:val="24"/>
          <w:szCs w:val="20"/>
        </w:rPr>
        <w:t>e</w:t>
      </w:r>
    </w:p>
    <w:p w:rsidR="005B1B20" w:rsidRPr="005B1B20" w:rsidRDefault="005B1B20" w:rsidP="005B1B20">
      <w:pPr>
        <w:autoSpaceDE w:val="0"/>
        <w:autoSpaceDN w:val="0"/>
        <w:adjustRightInd w:val="0"/>
        <w:spacing w:after="0" w:line="240" w:lineRule="auto"/>
        <w:jc w:val="center"/>
        <w:rPr>
          <w:rFonts w:ascii="Arial" w:hAnsi="Arial" w:cs="Arial"/>
          <w:b/>
          <w:bCs/>
          <w:color w:val="000000"/>
          <w:sz w:val="40"/>
          <w:szCs w:val="20"/>
        </w:rPr>
      </w:pPr>
      <w:r w:rsidRPr="005B1B20">
        <w:rPr>
          <w:rFonts w:ascii="Arial" w:hAnsi="Arial" w:cs="Arial"/>
          <w:b/>
          <w:bCs/>
          <w:color w:val="000000"/>
          <w:sz w:val="40"/>
          <w:szCs w:val="20"/>
        </w:rPr>
        <w:t>3323. Le bilan</w:t>
      </w:r>
    </w:p>
    <w:p w:rsidR="005B1B20" w:rsidRPr="005B1B20" w:rsidRDefault="005B1B20" w:rsidP="005B1B20">
      <w:pPr>
        <w:autoSpaceDE w:val="0"/>
        <w:autoSpaceDN w:val="0"/>
        <w:adjustRightInd w:val="0"/>
        <w:spacing w:after="0" w:line="240" w:lineRule="auto"/>
        <w:rPr>
          <w:rFonts w:ascii="Arial" w:hAnsi="Arial" w:cs="Arial"/>
          <w:b/>
          <w:bCs/>
          <w:color w:val="3365FF"/>
          <w:sz w:val="32"/>
          <w:szCs w:val="20"/>
        </w:rPr>
      </w:pPr>
      <w:r w:rsidRPr="005B1B20">
        <w:rPr>
          <w:rFonts w:ascii="Arial" w:hAnsi="Arial" w:cs="Arial"/>
          <w:b/>
          <w:bCs/>
          <w:color w:val="3365FF"/>
          <w:sz w:val="32"/>
          <w:szCs w:val="20"/>
        </w:rPr>
        <w:t>33231. Le fonds de roulement net global</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Il représente la </w:t>
      </w:r>
      <w:r w:rsidRPr="005B1B20">
        <w:rPr>
          <w:rFonts w:ascii="ArialMT" w:hAnsi="ArialMT" w:cs="ArialMT"/>
          <w:b/>
          <w:color w:val="000000"/>
          <w:sz w:val="24"/>
          <w:szCs w:val="20"/>
          <w:u w:val="single"/>
        </w:rPr>
        <w:t>différence entre les ressources stables et les emplois stables</w:t>
      </w:r>
      <w:r w:rsidRPr="005B1B20">
        <w:rPr>
          <w:rFonts w:ascii="ArialMT" w:hAnsi="ArialMT" w:cs="ArialMT"/>
          <w:color w:val="000000"/>
          <w:sz w:val="24"/>
          <w:szCs w:val="20"/>
        </w:rPr>
        <w:t xml:space="preserve"> </w:t>
      </w:r>
      <w:r>
        <w:rPr>
          <w:rFonts w:ascii="ArialMT" w:hAnsi="ArialMT" w:cs="ArialMT"/>
          <w:color w:val="000000"/>
          <w:sz w:val="20"/>
          <w:szCs w:val="20"/>
        </w:rPr>
        <w:t>et traduit la marge de</w:t>
      </w:r>
    </w:p>
    <w:p w:rsidR="005B1B20" w:rsidRDefault="005B1B20" w:rsidP="005B1B20">
      <w:pPr>
        <w:autoSpaceDE w:val="0"/>
        <w:autoSpaceDN w:val="0"/>
        <w:adjustRightInd w:val="0"/>
        <w:spacing w:after="0" w:line="240" w:lineRule="auto"/>
        <w:rPr>
          <w:rFonts w:ascii="ArialMT" w:hAnsi="ArialMT" w:cs="ArialMT"/>
          <w:color w:val="000000"/>
          <w:sz w:val="20"/>
          <w:szCs w:val="20"/>
        </w:rPr>
      </w:pPr>
      <w:proofErr w:type="spellStart"/>
      <w:proofErr w:type="gramStart"/>
      <w:r>
        <w:rPr>
          <w:rFonts w:ascii="ArialMT" w:hAnsi="ArialMT" w:cs="ArialMT"/>
          <w:color w:val="000000"/>
          <w:sz w:val="20"/>
          <w:szCs w:val="20"/>
        </w:rPr>
        <w:t>manoeuvre</w:t>
      </w:r>
      <w:proofErr w:type="spellEnd"/>
      <w:proofErr w:type="gramEnd"/>
      <w:r>
        <w:rPr>
          <w:rFonts w:ascii="ArialMT" w:hAnsi="ArialMT" w:cs="ArialMT"/>
          <w:color w:val="000000"/>
          <w:sz w:val="20"/>
          <w:szCs w:val="20"/>
        </w:rPr>
        <w:t xml:space="preserve"> dont dispose l’établissement sur les éléments à caractère durable de son patrimoine.</w:t>
      </w:r>
    </w:p>
    <w:p w:rsidR="005B1B20" w:rsidRDefault="005B1B20" w:rsidP="005B1B20">
      <w:pPr>
        <w:autoSpaceDE w:val="0"/>
        <w:autoSpaceDN w:val="0"/>
        <w:adjustRightInd w:val="0"/>
        <w:spacing w:after="0" w:line="240" w:lineRule="auto"/>
        <w:rPr>
          <w:rFonts w:ascii="ArialMT" w:hAnsi="ArialMT" w:cs="ArialMT"/>
          <w:color w:val="000000"/>
          <w:sz w:val="20"/>
          <w:szCs w:val="20"/>
        </w:rPr>
      </w:pPr>
      <w:r w:rsidRPr="005B1B20">
        <w:rPr>
          <w:rFonts w:ascii="ArialMT" w:hAnsi="ArialMT" w:cs="ArialMT"/>
          <w:b/>
          <w:color w:val="000000"/>
          <w:sz w:val="24"/>
          <w:szCs w:val="20"/>
          <w:u w:val="single"/>
        </w:rPr>
        <w:t>Les ressources stables</w:t>
      </w:r>
      <w:r w:rsidRPr="005B1B20">
        <w:rPr>
          <w:rFonts w:ascii="ArialMT" w:hAnsi="ArialMT" w:cs="ArialMT"/>
          <w:color w:val="000000"/>
          <w:sz w:val="24"/>
          <w:szCs w:val="20"/>
        </w:rPr>
        <w:t xml:space="preserve"> </w:t>
      </w:r>
      <w:r>
        <w:rPr>
          <w:rFonts w:ascii="ArialMT" w:hAnsi="ArialMT" w:cs="ArialMT"/>
          <w:color w:val="000000"/>
          <w:sz w:val="20"/>
          <w:szCs w:val="20"/>
        </w:rPr>
        <w:t>se calculent à partir de la balance générale des comptes comme la somme</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des soldes créditeurs des comptes 10, 110, 120, 13 auxquels on soustrait les soldes débiteurs des comptes 119 et 129 (capitaux propres) et 139 (subventions d’investissement inscrites au compte de résultat</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des soldes créditeurs des comptes 14 et 15 (provisions)</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des soldes créditeurs des comptes 28, 29, 39, 49 et 59 (amortissements et dépréciations)</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des soldes créditeurs des comptes 16 sauf 1688, 17 (dettes financières)</w:t>
      </w:r>
    </w:p>
    <w:p w:rsidR="005B1B20" w:rsidRDefault="005B1B20" w:rsidP="005B1B20">
      <w:pPr>
        <w:autoSpaceDE w:val="0"/>
        <w:autoSpaceDN w:val="0"/>
        <w:adjustRightInd w:val="0"/>
        <w:spacing w:after="0" w:line="240" w:lineRule="auto"/>
        <w:rPr>
          <w:rFonts w:ascii="ArialMT" w:hAnsi="ArialMT" w:cs="ArialMT"/>
          <w:color w:val="000000"/>
          <w:sz w:val="20"/>
          <w:szCs w:val="20"/>
        </w:rPr>
      </w:pPr>
      <w:r w:rsidRPr="005B1B20">
        <w:rPr>
          <w:rFonts w:ascii="ArialMT" w:hAnsi="ArialMT" w:cs="ArialMT"/>
          <w:b/>
          <w:color w:val="000000"/>
          <w:sz w:val="26"/>
          <w:szCs w:val="20"/>
          <w:u w:val="single"/>
        </w:rPr>
        <w:t xml:space="preserve">Les emplois stables </w:t>
      </w:r>
      <w:r>
        <w:rPr>
          <w:rFonts w:ascii="ArialMT" w:hAnsi="ArialMT" w:cs="ArialMT"/>
          <w:color w:val="000000"/>
          <w:sz w:val="20"/>
          <w:szCs w:val="20"/>
        </w:rPr>
        <w:t>ou actifs immobilisés brut se calculent à partir de la balance générale des comptes comme la somme</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des soldes débiteurs des comptes 20 (immobilisations incorporelles) ;</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des soldes débiteurs des comptes 21, 22, 23, 24 et 25 (immobilisations corporelles et immobilisations en cours) ;</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des soldes débiteurs des comptes 26 et 27 sauf 2768 (immobilisations financières) ;</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des soldes débiteurs des comptes 481 (charges à répartir) ;</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De manière synthétique on définira le fonds de roulement par la formule</w:t>
      </w:r>
    </w:p>
    <w:p w:rsidR="005B1B20" w:rsidRDefault="005B1B20" w:rsidP="005B1B20">
      <w:pPr>
        <w:autoSpaceDE w:val="0"/>
        <w:autoSpaceDN w:val="0"/>
        <w:adjustRightInd w:val="0"/>
        <w:spacing w:after="0" w:line="240" w:lineRule="auto"/>
        <w:rPr>
          <w:rFonts w:ascii="ArialMT" w:hAnsi="ArialMT" w:cs="ArialMT"/>
          <w:color w:val="000000"/>
          <w:sz w:val="20"/>
          <w:szCs w:val="20"/>
        </w:rPr>
      </w:pPr>
      <w:proofErr w:type="spellStart"/>
      <w:r>
        <w:rPr>
          <w:rFonts w:ascii="ArialMT" w:hAnsi="ArialMT" w:cs="ArialMT"/>
          <w:color w:val="000000"/>
          <w:sz w:val="20"/>
          <w:szCs w:val="20"/>
        </w:rPr>
        <w:t>FdR</w:t>
      </w:r>
      <w:proofErr w:type="spellEnd"/>
      <w:r>
        <w:rPr>
          <w:rFonts w:ascii="ArialMT" w:hAnsi="ArialMT" w:cs="ArialMT"/>
          <w:color w:val="000000"/>
          <w:sz w:val="20"/>
          <w:szCs w:val="20"/>
        </w:rPr>
        <w:t xml:space="preserve"> = soldes créditeurs (classes 1 + 2 + 39 + 49 + 59) – soldes débiteurs (classes 1 + 2)</w:t>
      </w:r>
    </w:p>
    <w:p w:rsidR="005B1B20" w:rsidRPr="005B1B20" w:rsidRDefault="005B1B20" w:rsidP="005B1B20">
      <w:pPr>
        <w:autoSpaceDE w:val="0"/>
        <w:autoSpaceDN w:val="0"/>
        <w:adjustRightInd w:val="0"/>
        <w:spacing w:after="0" w:line="240" w:lineRule="auto"/>
        <w:rPr>
          <w:rFonts w:ascii="Arial" w:hAnsi="Arial" w:cs="Arial"/>
          <w:b/>
          <w:bCs/>
          <w:color w:val="3365FF"/>
          <w:sz w:val="36"/>
          <w:szCs w:val="20"/>
        </w:rPr>
      </w:pPr>
      <w:r w:rsidRPr="005B1B20">
        <w:rPr>
          <w:rFonts w:ascii="Arial" w:hAnsi="Arial" w:cs="Arial"/>
          <w:b/>
          <w:bCs/>
          <w:color w:val="3365FF"/>
          <w:sz w:val="36"/>
          <w:szCs w:val="20"/>
        </w:rPr>
        <w:t>33232. Le besoin en fonds de roulement</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Il représente la différence entre les emplois d’exploitation et hors exploitation (actif circulant) et les ressources d’exploitation et hors exploitation (dettes).</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lastRenderedPageBreak/>
        <w:t>Cette grandeur mesure le besoin de financement lié à l’activité de l’établissement.</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L’actif circulant se calcule à partir de la balance générale des comptes comme la somme :</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des soldes débiteurs des comptes 31, 32, 33, 34, 35, 36, 37 et 38 (stocks et en-cours) ;</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des soldes débiteurs des comptes 409 (avances et acomptes versés) ;</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des soldes débiteurs des comptes 41 (clients et comptes rattachés) ;</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des soldes débiteurs des comptes 42, 43, 44, 45, 46, 47, 2768 et 18 sauf 185 (autres</w:t>
      </w:r>
    </w:p>
    <w:p w:rsidR="005B1B20" w:rsidRDefault="005B1B20" w:rsidP="005B1B20">
      <w:pPr>
        <w:autoSpaceDE w:val="0"/>
        <w:autoSpaceDN w:val="0"/>
        <w:adjustRightInd w:val="0"/>
        <w:spacing w:after="0" w:line="240" w:lineRule="auto"/>
        <w:rPr>
          <w:rFonts w:ascii="ArialMT" w:hAnsi="ArialMT" w:cs="ArialMT"/>
          <w:color w:val="000000"/>
          <w:sz w:val="20"/>
          <w:szCs w:val="20"/>
        </w:rPr>
      </w:pPr>
      <w:proofErr w:type="gramStart"/>
      <w:r>
        <w:rPr>
          <w:rFonts w:ascii="ArialMT" w:hAnsi="ArialMT" w:cs="ArialMT"/>
          <w:color w:val="000000"/>
          <w:sz w:val="20"/>
          <w:szCs w:val="20"/>
        </w:rPr>
        <w:t>créances</w:t>
      </w:r>
      <w:proofErr w:type="gramEnd"/>
      <w:r>
        <w:rPr>
          <w:rFonts w:ascii="ArialMT" w:hAnsi="ArialMT" w:cs="ArialMT"/>
          <w:color w:val="000000"/>
          <w:sz w:val="20"/>
          <w:szCs w:val="20"/>
        </w:rPr>
        <w:t>) ;</w:t>
      </w:r>
    </w:p>
    <w:p w:rsidR="005B1B20" w:rsidRDefault="005B1B20" w:rsidP="005B1B20">
      <w:pPr>
        <w:autoSpaceDE w:val="0"/>
        <w:autoSpaceDN w:val="0"/>
        <w:adjustRightInd w:val="0"/>
        <w:spacing w:after="0" w:line="240" w:lineRule="auto"/>
        <w:rPr>
          <w:rFonts w:ascii="ArialMT" w:hAnsi="ArialMT" w:cs="ArialMT"/>
          <w:color w:val="000000"/>
          <w:sz w:val="16"/>
          <w:szCs w:val="16"/>
        </w:rPr>
      </w:pPr>
      <w:r>
        <w:rPr>
          <w:rFonts w:ascii="ArialMT" w:hAnsi="ArialMT" w:cs="ArialMT"/>
          <w:color w:val="000000"/>
          <w:sz w:val="16"/>
          <w:szCs w:val="16"/>
        </w:rPr>
        <w:t>RCBCM9_6.doc 219/229</w:t>
      </w:r>
    </w:p>
    <w:p w:rsidR="005B1B20" w:rsidRDefault="005B1B20" w:rsidP="005B1B20">
      <w:pPr>
        <w:autoSpaceDE w:val="0"/>
        <w:autoSpaceDN w:val="0"/>
        <w:adjustRightInd w:val="0"/>
        <w:spacing w:after="0" w:line="240" w:lineRule="auto"/>
        <w:rPr>
          <w:rFonts w:ascii="ArialMT" w:hAnsi="ArialMT" w:cs="ArialMT"/>
          <w:color w:val="000000"/>
          <w:sz w:val="16"/>
          <w:szCs w:val="16"/>
        </w:rPr>
      </w:pPr>
      <w:r>
        <w:rPr>
          <w:rFonts w:ascii="ArialMT" w:hAnsi="ArialMT" w:cs="ArialMT"/>
          <w:color w:val="000000"/>
          <w:sz w:val="16"/>
          <w:szCs w:val="16"/>
        </w:rPr>
        <w:t>19/09/2011 14:09</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du solde débiteur du compte 486 (charges constatées d’avance) ;</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du solde débiteur du compte 50 valeurs mobilières de placement.</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Les dettes se calculent à partir de la balance générale des comptes comme la somme :</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des soldes créditeurs des comptes 419 (avances et acomptes reçus) ;</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des soldes créditeurs des comptes 40 (fournisseurs et comptes rattachés) ;</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des soldes créditeurs des comptes 42, 43, 44, 45, 46, 47, 1688 et 18 sauf 185 (autres</w:t>
      </w:r>
    </w:p>
    <w:p w:rsidR="005B1B20" w:rsidRDefault="005B1B20" w:rsidP="005B1B20">
      <w:pPr>
        <w:autoSpaceDE w:val="0"/>
        <w:autoSpaceDN w:val="0"/>
        <w:adjustRightInd w:val="0"/>
        <w:spacing w:after="0" w:line="240" w:lineRule="auto"/>
        <w:rPr>
          <w:rFonts w:ascii="ArialMT" w:hAnsi="ArialMT" w:cs="ArialMT"/>
          <w:color w:val="000000"/>
          <w:sz w:val="20"/>
          <w:szCs w:val="20"/>
        </w:rPr>
      </w:pPr>
      <w:proofErr w:type="gramStart"/>
      <w:r>
        <w:rPr>
          <w:rFonts w:ascii="ArialMT" w:hAnsi="ArialMT" w:cs="ArialMT"/>
          <w:color w:val="000000"/>
          <w:sz w:val="20"/>
          <w:szCs w:val="20"/>
        </w:rPr>
        <w:t>dettes</w:t>
      </w:r>
      <w:proofErr w:type="gramEnd"/>
      <w:r>
        <w:rPr>
          <w:rFonts w:ascii="ArialMT" w:hAnsi="ArialMT" w:cs="ArialMT"/>
          <w:color w:val="000000"/>
          <w:sz w:val="20"/>
          <w:szCs w:val="20"/>
        </w:rPr>
        <w:t>) ;</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du solde créditeur du compte 487 (produits constatés d’avance).</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De manière synthétique on définira le besoin en fonds de roulement par la formule</w:t>
      </w:r>
    </w:p>
    <w:p w:rsidR="005B1B20" w:rsidRDefault="005B1B20" w:rsidP="005B1B20">
      <w:pPr>
        <w:autoSpaceDE w:val="0"/>
        <w:autoSpaceDN w:val="0"/>
        <w:adjustRightInd w:val="0"/>
        <w:spacing w:after="0" w:line="240" w:lineRule="auto"/>
        <w:rPr>
          <w:rFonts w:ascii="ArialMT" w:hAnsi="ArialMT" w:cs="ArialMT"/>
          <w:color w:val="000000"/>
          <w:sz w:val="20"/>
          <w:szCs w:val="20"/>
        </w:rPr>
      </w:pPr>
      <w:proofErr w:type="spellStart"/>
      <w:r>
        <w:rPr>
          <w:rFonts w:ascii="ArialMT" w:hAnsi="ArialMT" w:cs="ArialMT"/>
          <w:color w:val="000000"/>
          <w:sz w:val="20"/>
          <w:szCs w:val="20"/>
        </w:rPr>
        <w:t>BFdR</w:t>
      </w:r>
      <w:proofErr w:type="spellEnd"/>
      <w:r>
        <w:rPr>
          <w:rFonts w:ascii="ArialMT" w:hAnsi="ArialMT" w:cs="ArialMT"/>
          <w:color w:val="000000"/>
          <w:sz w:val="20"/>
          <w:szCs w:val="20"/>
        </w:rPr>
        <w:t xml:space="preserve"> = soldes débiteurs (classe 3 + 4 + 50) – soldes créditeurs classe 4</w:t>
      </w:r>
    </w:p>
    <w:p w:rsidR="005B1B20" w:rsidRDefault="005B1B20" w:rsidP="005B1B20">
      <w:pPr>
        <w:autoSpaceDE w:val="0"/>
        <w:autoSpaceDN w:val="0"/>
        <w:adjustRightInd w:val="0"/>
        <w:spacing w:after="0" w:line="240" w:lineRule="auto"/>
        <w:rPr>
          <w:rFonts w:ascii="Arial" w:hAnsi="Arial" w:cs="Arial"/>
          <w:i/>
          <w:iCs/>
          <w:color w:val="000000"/>
          <w:sz w:val="20"/>
          <w:szCs w:val="20"/>
        </w:rPr>
      </w:pPr>
      <w:r>
        <w:rPr>
          <w:rFonts w:ascii="Arial" w:hAnsi="Arial" w:cs="Arial"/>
          <w:i/>
          <w:iCs/>
          <w:color w:val="000000"/>
          <w:sz w:val="20"/>
          <w:szCs w:val="20"/>
        </w:rPr>
        <w:t>Nota : le besoin en fonds de roulement est traditionnellement négatif car les dettes des EPLE ou plus</w:t>
      </w:r>
    </w:p>
    <w:p w:rsidR="005B1B20" w:rsidRDefault="005B1B20" w:rsidP="005B1B20">
      <w:pPr>
        <w:autoSpaceDE w:val="0"/>
        <w:autoSpaceDN w:val="0"/>
        <w:adjustRightInd w:val="0"/>
        <w:spacing w:after="0" w:line="240" w:lineRule="auto"/>
        <w:rPr>
          <w:rFonts w:ascii="ArialMT" w:hAnsi="ArialMT" w:cs="ArialMT"/>
          <w:color w:val="000000"/>
          <w:sz w:val="20"/>
          <w:szCs w:val="20"/>
        </w:rPr>
      </w:pPr>
      <w:proofErr w:type="gramStart"/>
      <w:r>
        <w:rPr>
          <w:rFonts w:ascii="Arial" w:hAnsi="Arial" w:cs="Arial"/>
          <w:i/>
          <w:iCs/>
          <w:color w:val="000000"/>
          <w:sz w:val="20"/>
          <w:szCs w:val="20"/>
        </w:rPr>
        <w:t>exactement</w:t>
      </w:r>
      <w:proofErr w:type="gramEnd"/>
      <w:r>
        <w:rPr>
          <w:rFonts w:ascii="Arial" w:hAnsi="Arial" w:cs="Arial"/>
          <w:i/>
          <w:iCs/>
          <w:color w:val="000000"/>
          <w:sz w:val="20"/>
          <w:szCs w:val="20"/>
        </w:rPr>
        <w:t xml:space="preserve"> les reliquats de subventions sont plus importants que les créances et la valeur des stocks</w:t>
      </w:r>
      <w:r>
        <w:rPr>
          <w:rFonts w:ascii="ArialMT" w:hAnsi="ArialMT" w:cs="ArialMT"/>
          <w:color w:val="000000"/>
          <w:sz w:val="20"/>
          <w:szCs w:val="20"/>
        </w:rPr>
        <w:t>.</w:t>
      </w:r>
    </w:p>
    <w:p w:rsidR="005B1B20" w:rsidRDefault="005B1B20" w:rsidP="005B1B20">
      <w:pPr>
        <w:autoSpaceDE w:val="0"/>
        <w:autoSpaceDN w:val="0"/>
        <w:adjustRightInd w:val="0"/>
        <w:spacing w:after="0" w:line="240" w:lineRule="auto"/>
        <w:rPr>
          <w:rFonts w:ascii="Arial" w:hAnsi="Arial" w:cs="Arial"/>
          <w:b/>
          <w:bCs/>
          <w:color w:val="3365FF"/>
          <w:sz w:val="20"/>
          <w:szCs w:val="20"/>
        </w:rPr>
      </w:pPr>
      <w:r>
        <w:rPr>
          <w:rFonts w:ascii="Arial" w:hAnsi="Arial" w:cs="Arial"/>
          <w:b/>
          <w:bCs/>
          <w:color w:val="3365FF"/>
          <w:sz w:val="20"/>
          <w:szCs w:val="20"/>
        </w:rPr>
        <w:t>33233. la trésorerie</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La trésorerie est la différence entre le fonds de roulement le besoin en fonds de roulement.</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Trésorerie = </w:t>
      </w:r>
      <w:proofErr w:type="spellStart"/>
      <w:r>
        <w:rPr>
          <w:rFonts w:ascii="ArialMT" w:hAnsi="ArialMT" w:cs="ArialMT"/>
          <w:color w:val="000000"/>
          <w:sz w:val="20"/>
          <w:szCs w:val="20"/>
        </w:rPr>
        <w:t>FdR</w:t>
      </w:r>
      <w:proofErr w:type="spellEnd"/>
      <w:r>
        <w:rPr>
          <w:rFonts w:ascii="ArialMT" w:hAnsi="ArialMT" w:cs="ArialMT"/>
          <w:color w:val="000000"/>
          <w:sz w:val="20"/>
          <w:szCs w:val="20"/>
        </w:rPr>
        <w:t xml:space="preserve"> – </w:t>
      </w:r>
      <w:proofErr w:type="spellStart"/>
      <w:r>
        <w:rPr>
          <w:rFonts w:ascii="ArialMT" w:hAnsi="ArialMT" w:cs="ArialMT"/>
          <w:color w:val="000000"/>
          <w:sz w:val="20"/>
          <w:szCs w:val="20"/>
        </w:rPr>
        <w:t>BFdR</w:t>
      </w:r>
      <w:proofErr w:type="spellEnd"/>
    </w:p>
    <w:p w:rsidR="005B1B20" w:rsidRDefault="005B1B20" w:rsidP="005B1B20">
      <w:pPr>
        <w:autoSpaceDE w:val="0"/>
        <w:autoSpaceDN w:val="0"/>
        <w:adjustRightInd w:val="0"/>
        <w:spacing w:after="0" w:line="240" w:lineRule="auto"/>
        <w:rPr>
          <w:rFonts w:ascii="Arial" w:hAnsi="Arial" w:cs="Arial"/>
          <w:i/>
          <w:iCs/>
          <w:color w:val="000000"/>
          <w:sz w:val="20"/>
          <w:szCs w:val="20"/>
        </w:rPr>
      </w:pPr>
      <w:r>
        <w:rPr>
          <w:rFonts w:ascii="Arial" w:hAnsi="Arial" w:cs="Arial"/>
          <w:i/>
          <w:iCs/>
          <w:color w:val="000000"/>
          <w:sz w:val="20"/>
          <w:szCs w:val="20"/>
        </w:rPr>
        <w:t>Nota : Cette formule s'applique de la même manière au calcul de la trésorerie résultant des opérations</w:t>
      </w:r>
    </w:p>
    <w:p w:rsidR="005B1B20" w:rsidRDefault="005B1B20" w:rsidP="005B1B20">
      <w:pPr>
        <w:autoSpaceDE w:val="0"/>
        <w:autoSpaceDN w:val="0"/>
        <w:adjustRightInd w:val="0"/>
        <w:spacing w:after="0" w:line="240" w:lineRule="auto"/>
        <w:rPr>
          <w:rFonts w:ascii="Arial" w:hAnsi="Arial" w:cs="Arial"/>
          <w:i/>
          <w:iCs/>
          <w:color w:val="000000"/>
          <w:sz w:val="20"/>
          <w:szCs w:val="20"/>
        </w:rPr>
      </w:pPr>
      <w:proofErr w:type="gramStart"/>
      <w:r>
        <w:rPr>
          <w:rFonts w:ascii="Arial" w:hAnsi="Arial" w:cs="Arial"/>
          <w:i/>
          <w:iCs/>
          <w:color w:val="000000"/>
          <w:sz w:val="20"/>
          <w:szCs w:val="20"/>
        </w:rPr>
        <w:t>effectuées</w:t>
      </w:r>
      <w:proofErr w:type="gramEnd"/>
      <w:r>
        <w:rPr>
          <w:rFonts w:ascii="Arial" w:hAnsi="Arial" w:cs="Arial"/>
          <w:i/>
          <w:iCs/>
          <w:color w:val="000000"/>
          <w:sz w:val="20"/>
          <w:szCs w:val="20"/>
        </w:rPr>
        <w:t xml:space="preserve"> dans un budget annexe. Comme le budget annexe ne dispose pas de comptes de</w:t>
      </w:r>
    </w:p>
    <w:p w:rsidR="005B1B20" w:rsidRDefault="005B1B20" w:rsidP="005B1B20">
      <w:pPr>
        <w:autoSpaceDE w:val="0"/>
        <w:autoSpaceDN w:val="0"/>
        <w:adjustRightInd w:val="0"/>
        <w:spacing w:after="0" w:line="240" w:lineRule="auto"/>
        <w:rPr>
          <w:rFonts w:ascii="Arial" w:hAnsi="Arial" w:cs="Arial"/>
          <w:i/>
          <w:iCs/>
          <w:color w:val="000000"/>
          <w:sz w:val="20"/>
          <w:szCs w:val="20"/>
        </w:rPr>
      </w:pPr>
      <w:proofErr w:type="gramStart"/>
      <w:r>
        <w:rPr>
          <w:rFonts w:ascii="Arial" w:hAnsi="Arial" w:cs="Arial"/>
          <w:i/>
          <w:iCs/>
          <w:color w:val="000000"/>
          <w:sz w:val="20"/>
          <w:szCs w:val="20"/>
        </w:rPr>
        <w:t>trésorerie</w:t>
      </w:r>
      <w:proofErr w:type="gramEnd"/>
      <w:r>
        <w:rPr>
          <w:rFonts w:ascii="Arial" w:hAnsi="Arial" w:cs="Arial"/>
          <w:i/>
          <w:iCs/>
          <w:color w:val="000000"/>
          <w:sz w:val="20"/>
          <w:szCs w:val="20"/>
        </w:rPr>
        <w:t>, celle-ci est enregistrée au débit du compte 185 du budget annexe et reprise au crédit du</w:t>
      </w:r>
    </w:p>
    <w:p w:rsidR="005B1B20" w:rsidRDefault="005B1B20" w:rsidP="005B1B20">
      <w:pPr>
        <w:autoSpaceDE w:val="0"/>
        <w:autoSpaceDN w:val="0"/>
        <w:adjustRightInd w:val="0"/>
        <w:spacing w:after="0" w:line="240" w:lineRule="auto"/>
        <w:rPr>
          <w:rFonts w:ascii="Arial" w:hAnsi="Arial" w:cs="Arial"/>
          <w:i/>
          <w:iCs/>
          <w:color w:val="000000"/>
          <w:sz w:val="20"/>
          <w:szCs w:val="20"/>
        </w:rPr>
      </w:pPr>
      <w:proofErr w:type="gramStart"/>
      <w:r>
        <w:rPr>
          <w:rFonts w:ascii="Arial" w:hAnsi="Arial" w:cs="Arial"/>
          <w:i/>
          <w:iCs/>
          <w:color w:val="000000"/>
          <w:sz w:val="20"/>
          <w:szCs w:val="20"/>
        </w:rPr>
        <w:t>compte</w:t>
      </w:r>
      <w:proofErr w:type="gramEnd"/>
      <w:r>
        <w:rPr>
          <w:rFonts w:ascii="Arial" w:hAnsi="Arial" w:cs="Arial"/>
          <w:i/>
          <w:iCs/>
          <w:color w:val="000000"/>
          <w:sz w:val="20"/>
          <w:szCs w:val="20"/>
        </w:rPr>
        <w:t xml:space="preserve"> 185 de l'établissement.</w:t>
      </w:r>
    </w:p>
    <w:p w:rsidR="005B1B20" w:rsidRDefault="005B1B20" w:rsidP="005B1B20">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3324. Les autres indicateurs financiers</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Les indicateurs financiers sont présentés dans la pièce 14 du compte financier, ils permettent une</w:t>
      </w:r>
    </w:p>
    <w:p w:rsidR="005B1B20" w:rsidRDefault="005B1B20" w:rsidP="005B1B20">
      <w:pPr>
        <w:autoSpaceDE w:val="0"/>
        <w:autoSpaceDN w:val="0"/>
        <w:adjustRightInd w:val="0"/>
        <w:spacing w:after="0" w:line="240" w:lineRule="auto"/>
        <w:rPr>
          <w:rFonts w:ascii="ArialMT" w:hAnsi="ArialMT" w:cs="ArialMT"/>
          <w:color w:val="000000"/>
          <w:sz w:val="20"/>
          <w:szCs w:val="20"/>
        </w:rPr>
      </w:pPr>
      <w:proofErr w:type="gramStart"/>
      <w:r>
        <w:rPr>
          <w:rFonts w:ascii="ArialMT" w:hAnsi="ArialMT" w:cs="ArialMT"/>
          <w:color w:val="000000"/>
          <w:sz w:val="20"/>
          <w:szCs w:val="20"/>
        </w:rPr>
        <w:t>analyse</w:t>
      </w:r>
      <w:proofErr w:type="gramEnd"/>
      <w:r>
        <w:rPr>
          <w:rFonts w:ascii="ArialMT" w:hAnsi="ArialMT" w:cs="ArialMT"/>
          <w:color w:val="000000"/>
          <w:sz w:val="20"/>
          <w:szCs w:val="20"/>
        </w:rPr>
        <w:t xml:space="preserve"> succincte de la santé financière de l’établissement au regard de leur évolution sur 5</w:t>
      </w:r>
    </w:p>
    <w:p w:rsidR="005B1B20" w:rsidRDefault="005B1B20" w:rsidP="005B1B20">
      <w:pPr>
        <w:autoSpaceDE w:val="0"/>
        <w:autoSpaceDN w:val="0"/>
        <w:adjustRightInd w:val="0"/>
        <w:spacing w:after="0" w:line="240" w:lineRule="auto"/>
        <w:rPr>
          <w:rFonts w:ascii="ArialMT" w:hAnsi="ArialMT" w:cs="ArialMT"/>
          <w:color w:val="000000"/>
          <w:sz w:val="20"/>
          <w:szCs w:val="20"/>
        </w:rPr>
      </w:pPr>
      <w:proofErr w:type="gramStart"/>
      <w:r>
        <w:rPr>
          <w:rFonts w:ascii="ArialMT" w:hAnsi="ArialMT" w:cs="ArialMT"/>
          <w:color w:val="000000"/>
          <w:sz w:val="20"/>
          <w:szCs w:val="20"/>
        </w:rPr>
        <w:t>exercices</w:t>
      </w:r>
      <w:proofErr w:type="gramEnd"/>
      <w:r>
        <w:rPr>
          <w:rFonts w:ascii="ArialMT" w:hAnsi="ArialMT" w:cs="ArialMT"/>
          <w:color w:val="000000"/>
          <w:sz w:val="20"/>
          <w:szCs w:val="20"/>
        </w:rPr>
        <w:t>. Les formules ci-dessous rappellent de manière synthétique leur mode de calcul.</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On distingue :</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les jours de fonds de roulement qui renseignent notamment sur le nombre de jours dont</w:t>
      </w:r>
    </w:p>
    <w:p w:rsidR="005B1B20" w:rsidRDefault="005B1B20" w:rsidP="005B1B20">
      <w:pPr>
        <w:autoSpaceDE w:val="0"/>
        <w:autoSpaceDN w:val="0"/>
        <w:adjustRightInd w:val="0"/>
        <w:spacing w:after="0" w:line="240" w:lineRule="auto"/>
        <w:rPr>
          <w:rFonts w:ascii="ArialMT" w:hAnsi="ArialMT" w:cs="ArialMT"/>
          <w:color w:val="000000"/>
          <w:sz w:val="20"/>
          <w:szCs w:val="20"/>
        </w:rPr>
      </w:pPr>
      <w:proofErr w:type="gramStart"/>
      <w:r>
        <w:rPr>
          <w:rFonts w:ascii="ArialMT" w:hAnsi="ArialMT" w:cs="ArialMT"/>
          <w:color w:val="000000"/>
          <w:sz w:val="20"/>
          <w:szCs w:val="20"/>
        </w:rPr>
        <w:t>dispose</w:t>
      </w:r>
      <w:proofErr w:type="gramEnd"/>
      <w:r>
        <w:rPr>
          <w:rFonts w:ascii="ArialMT" w:hAnsi="ArialMT" w:cs="ArialMT"/>
          <w:color w:val="000000"/>
          <w:sz w:val="20"/>
          <w:szCs w:val="20"/>
        </w:rPr>
        <w:t xml:space="preserve"> l’établissement pour fonctionner sans apport de trésorerie, ils sont calculés par</w:t>
      </w:r>
    </w:p>
    <w:p w:rsidR="005B1B20" w:rsidRDefault="005B1B20" w:rsidP="005B1B20">
      <w:pPr>
        <w:autoSpaceDE w:val="0"/>
        <w:autoSpaceDN w:val="0"/>
        <w:adjustRightInd w:val="0"/>
        <w:spacing w:after="0" w:line="240" w:lineRule="auto"/>
        <w:rPr>
          <w:rFonts w:ascii="ArialMT" w:hAnsi="ArialMT" w:cs="ArialMT"/>
          <w:color w:val="000000"/>
          <w:sz w:val="20"/>
          <w:szCs w:val="20"/>
        </w:rPr>
      </w:pPr>
      <w:proofErr w:type="gramStart"/>
      <w:r>
        <w:rPr>
          <w:rFonts w:ascii="ArialMT" w:hAnsi="ArialMT" w:cs="ArialMT"/>
          <w:color w:val="000000"/>
          <w:sz w:val="20"/>
          <w:szCs w:val="20"/>
        </w:rPr>
        <w:t>rapport</w:t>
      </w:r>
      <w:proofErr w:type="gramEnd"/>
      <w:r>
        <w:rPr>
          <w:rFonts w:ascii="ArialMT" w:hAnsi="ArialMT" w:cs="ArialMT"/>
          <w:color w:val="000000"/>
          <w:sz w:val="20"/>
          <w:szCs w:val="20"/>
        </w:rPr>
        <w:t xml:space="preserve"> aux charges nettes de fonctionnement des comptes 60 à 65 selon la formule :</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xml:space="preserve">J de </w:t>
      </w:r>
      <w:proofErr w:type="spellStart"/>
      <w:r>
        <w:rPr>
          <w:rFonts w:ascii="ArialMT" w:hAnsi="ArialMT" w:cs="ArialMT"/>
          <w:color w:val="000000"/>
          <w:sz w:val="20"/>
          <w:szCs w:val="20"/>
        </w:rPr>
        <w:t>FdR</w:t>
      </w:r>
      <w:proofErr w:type="spellEnd"/>
      <w:r>
        <w:rPr>
          <w:rFonts w:ascii="ArialMT" w:hAnsi="ArialMT" w:cs="ArialMT"/>
          <w:color w:val="000000"/>
          <w:sz w:val="20"/>
          <w:szCs w:val="20"/>
        </w:rPr>
        <w:t xml:space="preserve"> = (</w:t>
      </w:r>
      <w:proofErr w:type="spellStart"/>
      <w:r>
        <w:rPr>
          <w:rFonts w:ascii="ArialMT" w:hAnsi="ArialMT" w:cs="ArialMT"/>
          <w:color w:val="000000"/>
          <w:sz w:val="20"/>
          <w:szCs w:val="20"/>
        </w:rPr>
        <w:t>FdR</w:t>
      </w:r>
      <w:proofErr w:type="spellEnd"/>
      <w:r>
        <w:rPr>
          <w:rFonts w:ascii="ArialMT" w:hAnsi="ArialMT" w:cs="ArialMT"/>
          <w:color w:val="000000"/>
          <w:sz w:val="20"/>
          <w:szCs w:val="20"/>
        </w:rPr>
        <w:t>/cpt 60 à 65)*365</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les jours de trésorerie ont la même signification que les jours de fonds de roulement, ils sont</w:t>
      </w:r>
    </w:p>
    <w:p w:rsidR="005B1B20" w:rsidRDefault="005B1B20" w:rsidP="005B1B20">
      <w:pPr>
        <w:autoSpaceDE w:val="0"/>
        <w:autoSpaceDN w:val="0"/>
        <w:adjustRightInd w:val="0"/>
        <w:spacing w:after="0" w:line="240" w:lineRule="auto"/>
        <w:rPr>
          <w:rFonts w:ascii="ArialMT" w:hAnsi="ArialMT" w:cs="ArialMT"/>
          <w:color w:val="000000"/>
          <w:sz w:val="20"/>
          <w:szCs w:val="20"/>
        </w:rPr>
      </w:pPr>
      <w:proofErr w:type="gramStart"/>
      <w:r>
        <w:rPr>
          <w:rFonts w:ascii="ArialMT" w:hAnsi="ArialMT" w:cs="ArialMT"/>
          <w:color w:val="000000"/>
          <w:sz w:val="20"/>
          <w:szCs w:val="20"/>
        </w:rPr>
        <w:t>plus</w:t>
      </w:r>
      <w:proofErr w:type="gramEnd"/>
      <w:r>
        <w:rPr>
          <w:rFonts w:ascii="ArialMT" w:hAnsi="ArialMT" w:cs="ArialMT"/>
          <w:color w:val="000000"/>
          <w:sz w:val="20"/>
          <w:szCs w:val="20"/>
        </w:rPr>
        <w:t xml:space="preserve"> importants que les jours de fonds de roulement, lorsque le besoin en fonds de</w:t>
      </w:r>
    </w:p>
    <w:p w:rsidR="005B1B20" w:rsidRDefault="005B1B20" w:rsidP="005B1B20">
      <w:pPr>
        <w:autoSpaceDE w:val="0"/>
        <w:autoSpaceDN w:val="0"/>
        <w:adjustRightInd w:val="0"/>
        <w:spacing w:after="0" w:line="240" w:lineRule="auto"/>
        <w:rPr>
          <w:rFonts w:ascii="ArialMT" w:hAnsi="ArialMT" w:cs="ArialMT"/>
          <w:color w:val="000000"/>
          <w:sz w:val="20"/>
          <w:szCs w:val="20"/>
        </w:rPr>
      </w:pPr>
      <w:proofErr w:type="gramStart"/>
      <w:r>
        <w:rPr>
          <w:rFonts w:ascii="ArialMT" w:hAnsi="ArialMT" w:cs="ArialMT"/>
          <w:color w:val="000000"/>
          <w:sz w:val="20"/>
          <w:szCs w:val="20"/>
        </w:rPr>
        <w:t>roulement</w:t>
      </w:r>
      <w:proofErr w:type="gramEnd"/>
      <w:r>
        <w:rPr>
          <w:rFonts w:ascii="ArialMT" w:hAnsi="ArialMT" w:cs="ArialMT"/>
          <w:color w:val="000000"/>
          <w:sz w:val="20"/>
          <w:szCs w:val="20"/>
        </w:rPr>
        <w:t xml:space="preserve"> est négatif :</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J de trésorerie = (Trésorerie/cpt 60 à 65)*365</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le taux moyen de charges à payer renseigne sur le montant des charges à payer au regard</w:t>
      </w:r>
    </w:p>
    <w:p w:rsidR="005B1B20" w:rsidRDefault="005B1B20" w:rsidP="005B1B20">
      <w:pPr>
        <w:autoSpaceDE w:val="0"/>
        <w:autoSpaceDN w:val="0"/>
        <w:adjustRightInd w:val="0"/>
        <w:spacing w:after="0" w:line="240" w:lineRule="auto"/>
        <w:rPr>
          <w:rFonts w:ascii="ArialMT" w:hAnsi="ArialMT" w:cs="ArialMT"/>
          <w:color w:val="000000"/>
          <w:sz w:val="20"/>
          <w:szCs w:val="20"/>
        </w:rPr>
      </w:pPr>
      <w:proofErr w:type="gramStart"/>
      <w:r>
        <w:rPr>
          <w:rFonts w:ascii="ArialMT" w:hAnsi="ArialMT" w:cs="ArialMT"/>
          <w:color w:val="000000"/>
          <w:sz w:val="20"/>
          <w:szCs w:val="20"/>
        </w:rPr>
        <w:t>du</w:t>
      </w:r>
      <w:proofErr w:type="gramEnd"/>
      <w:r>
        <w:rPr>
          <w:rFonts w:ascii="ArialMT" w:hAnsi="ArialMT" w:cs="ArialMT"/>
          <w:color w:val="000000"/>
          <w:sz w:val="20"/>
          <w:szCs w:val="20"/>
        </w:rPr>
        <w:t xml:space="preserve"> montant total des dépenses d’exploitation de l’EPLE, il est calculé par le ratio des</w:t>
      </w:r>
    </w:p>
    <w:p w:rsidR="005B1B20" w:rsidRDefault="005B1B20" w:rsidP="005B1B20">
      <w:pPr>
        <w:autoSpaceDE w:val="0"/>
        <w:autoSpaceDN w:val="0"/>
        <w:adjustRightInd w:val="0"/>
        <w:spacing w:after="0" w:line="240" w:lineRule="auto"/>
        <w:rPr>
          <w:rFonts w:ascii="ArialMT" w:hAnsi="ArialMT" w:cs="ArialMT"/>
          <w:color w:val="000000"/>
          <w:sz w:val="20"/>
          <w:szCs w:val="20"/>
        </w:rPr>
      </w:pPr>
      <w:proofErr w:type="gramStart"/>
      <w:r>
        <w:rPr>
          <w:rFonts w:ascii="ArialMT" w:hAnsi="ArialMT" w:cs="ArialMT"/>
          <w:color w:val="000000"/>
          <w:sz w:val="20"/>
          <w:szCs w:val="20"/>
        </w:rPr>
        <w:t>charges</w:t>
      </w:r>
      <w:proofErr w:type="gramEnd"/>
      <w:r>
        <w:rPr>
          <w:rFonts w:ascii="ArialMT" w:hAnsi="ArialMT" w:cs="ArialMT"/>
          <w:color w:val="000000"/>
          <w:sz w:val="20"/>
          <w:szCs w:val="20"/>
        </w:rPr>
        <w:t xml:space="preserve"> à payer sur les charges nettes de fonctionnement des comptes 60 à 65 selon la</w:t>
      </w:r>
    </w:p>
    <w:p w:rsidR="005B1B20" w:rsidRDefault="005B1B20" w:rsidP="005B1B20">
      <w:pPr>
        <w:autoSpaceDE w:val="0"/>
        <w:autoSpaceDN w:val="0"/>
        <w:adjustRightInd w:val="0"/>
        <w:spacing w:after="0" w:line="240" w:lineRule="auto"/>
        <w:rPr>
          <w:rFonts w:ascii="ArialMT" w:hAnsi="ArialMT" w:cs="ArialMT"/>
          <w:color w:val="000000"/>
          <w:sz w:val="20"/>
          <w:szCs w:val="20"/>
        </w:rPr>
      </w:pPr>
      <w:proofErr w:type="gramStart"/>
      <w:r>
        <w:rPr>
          <w:rFonts w:ascii="ArialMT" w:hAnsi="ArialMT" w:cs="ArialMT"/>
          <w:color w:val="000000"/>
          <w:sz w:val="20"/>
          <w:szCs w:val="20"/>
        </w:rPr>
        <w:t>formule</w:t>
      </w:r>
      <w:proofErr w:type="gramEnd"/>
      <w:r>
        <w:rPr>
          <w:rFonts w:ascii="ArialMT" w:hAnsi="ArialMT" w:cs="ArialMT"/>
          <w:color w:val="000000"/>
          <w:sz w:val="20"/>
          <w:szCs w:val="20"/>
        </w:rPr>
        <w:t xml:space="preserve"> suivante :</w:t>
      </w:r>
    </w:p>
    <w:p w:rsidR="005B1B20" w:rsidRDefault="005B1B20" w:rsidP="005B1B20">
      <w:pPr>
        <w:autoSpaceDE w:val="0"/>
        <w:autoSpaceDN w:val="0"/>
        <w:adjustRightInd w:val="0"/>
        <w:spacing w:after="0" w:line="240" w:lineRule="auto"/>
        <w:rPr>
          <w:rFonts w:ascii="ArialMT" w:hAnsi="ArialMT" w:cs="ArialMT"/>
          <w:color w:val="000000"/>
          <w:sz w:val="20"/>
          <w:szCs w:val="20"/>
        </w:rPr>
      </w:pPr>
      <w:proofErr w:type="spellStart"/>
      <w:r>
        <w:rPr>
          <w:rFonts w:ascii="ArialMT" w:hAnsi="ArialMT" w:cs="ArialMT"/>
          <w:color w:val="000000"/>
          <w:sz w:val="20"/>
          <w:szCs w:val="20"/>
        </w:rPr>
        <w:t>TmCAP</w:t>
      </w:r>
      <w:proofErr w:type="spellEnd"/>
      <w:r>
        <w:rPr>
          <w:rFonts w:ascii="ArialMT" w:hAnsi="ArialMT" w:cs="ArialMT"/>
          <w:color w:val="000000"/>
          <w:sz w:val="20"/>
          <w:szCs w:val="20"/>
        </w:rPr>
        <w:t xml:space="preserve"> = (cpt 40, 42, 43, 46 / cpt 60à 65)*100</w:t>
      </w:r>
    </w:p>
    <w:p w:rsidR="005B1B20" w:rsidRDefault="005B1B20" w:rsidP="005B1B20">
      <w:pPr>
        <w:autoSpaceDE w:val="0"/>
        <w:autoSpaceDN w:val="0"/>
        <w:adjustRightInd w:val="0"/>
        <w:spacing w:after="0" w:line="240" w:lineRule="auto"/>
        <w:rPr>
          <w:rFonts w:ascii="Arial" w:hAnsi="Arial" w:cs="Arial"/>
          <w:i/>
          <w:iCs/>
          <w:color w:val="000000"/>
          <w:sz w:val="20"/>
          <w:szCs w:val="20"/>
        </w:rPr>
      </w:pPr>
      <w:r>
        <w:rPr>
          <w:rFonts w:ascii="Arial" w:hAnsi="Arial" w:cs="Arial"/>
          <w:i/>
          <w:iCs/>
          <w:color w:val="000000"/>
          <w:sz w:val="20"/>
          <w:szCs w:val="20"/>
        </w:rPr>
        <w:t>Nota : Un taux moyen de charges à payer à zéro peut s’analyser comme un arrêt prématuré de la</w:t>
      </w:r>
    </w:p>
    <w:p w:rsidR="005B1B20" w:rsidRDefault="005B1B20" w:rsidP="005B1B20">
      <w:pPr>
        <w:autoSpaceDE w:val="0"/>
        <w:autoSpaceDN w:val="0"/>
        <w:adjustRightInd w:val="0"/>
        <w:spacing w:after="0" w:line="240" w:lineRule="auto"/>
        <w:rPr>
          <w:rFonts w:ascii="Arial" w:hAnsi="Arial" w:cs="Arial"/>
          <w:i/>
          <w:iCs/>
          <w:color w:val="000000"/>
          <w:sz w:val="20"/>
          <w:szCs w:val="20"/>
        </w:rPr>
      </w:pPr>
      <w:proofErr w:type="gramStart"/>
      <w:r>
        <w:rPr>
          <w:rFonts w:ascii="Arial" w:hAnsi="Arial" w:cs="Arial"/>
          <w:i/>
          <w:iCs/>
          <w:color w:val="000000"/>
          <w:sz w:val="20"/>
          <w:szCs w:val="20"/>
        </w:rPr>
        <w:t>période</w:t>
      </w:r>
      <w:proofErr w:type="gramEnd"/>
      <w:r>
        <w:rPr>
          <w:rFonts w:ascii="Arial" w:hAnsi="Arial" w:cs="Arial"/>
          <w:i/>
          <w:iCs/>
          <w:color w:val="000000"/>
          <w:sz w:val="20"/>
          <w:szCs w:val="20"/>
        </w:rPr>
        <w:t xml:space="preserve"> d’engagement (année budgétaire réduite à 10 mois par exemple) ou comme une prolongation</w:t>
      </w:r>
    </w:p>
    <w:p w:rsidR="005B1B20" w:rsidRDefault="005B1B20" w:rsidP="005B1B20">
      <w:pPr>
        <w:autoSpaceDE w:val="0"/>
        <w:autoSpaceDN w:val="0"/>
        <w:adjustRightInd w:val="0"/>
        <w:spacing w:after="0" w:line="240" w:lineRule="auto"/>
        <w:rPr>
          <w:rFonts w:ascii="Arial" w:hAnsi="Arial" w:cs="Arial"/>
          <w:i/>
          <w:iCs/>
          <w:color w:val="000000"/>
          <w:sz w:val="20"/>
          <w:szCs w:val="20"/>
        </w:rPr>
      </w:pPr>
      <w:proofErr w:type="gramStart"/>
      <w:r>
        <w:rPr>
          <w:rFonts w:ascii="Arial" w:hAnsi="Arial" w:cs="Arial"/>
          <w:i/>
          <w:iCs/>
          <w:color w:val="000000"/>
          <w:sz w:val="20"/>
          <w:szCs w:val="20"/>
        </w:rPr>
        <w:t>anormale</w:t>
      </w:r>
      <w:proofErr w:type="gramEnd"/>
      <w:r>
        <w:rPr>
          <w:rFonts w:ascii="Arial" w:hAnsi="Arial" w:cs="Arial"/>
          <w:i/>
          <w:iCs/>
          <w:color w:val="000000"/>
          <w:sz w:val="20"/>
          <w:szCs w:val="20"/>
        </w:rPr>
        <w:t xml:space="preserve"> de la période d’inventaire.</w:t>
      </w:r>
    </w:p>
    <w:p w:rsidR="005B1B20" w:rsidRDefault="005B1B20" w:rsidP="005B1B20">
      <w:pPr>
        <w:autoSpaceDE w:val="0"/>
        <w:autoSpaceDN w:val="0"/>
        <w:adjustRightInd w:val="0"/>
        <w:spacing w:after="0" w:line="240" w:lineRule="auto"/>
        <w:rPr>
          <w:rFonts w:ascii="ArialMT" w:hAnsi="ArialMT" w:cs="ArialMT"/>
          <w:color w:val="000000"/>
          <w:sz w:val="20"/>
          <w:szCs w:val="20"/>
        </w:rPr>
      </w:pPr>
      <w:r>
        <w:rPr>
          <w:rFonts w:ascii="ArialMT" w:hAnsi="ArialMT" w:cs="ArialMT"/>
          <w:color w:val="000000"/>
          <w:sz w:val="20"/>
          <w:szCs w:val="20"/>
        </w:rPr>
        <w:t>- le taux moyen de recouvrement renseigne sur le montant des créances au regard des</w:t>
      </w:r>
    </w:p>
    <w:p w:rsidR="005B1B20" w:rsidRDefault="005B1B20" w:rsidP="005B1B20">
      <w:pPr>
        <w:autoSpaceDE w:val="0"/>
        <w:autoSpaceDN w:val="0"/>
        <w:adjustRightInd w:val="0"/>
        <w:spacing w:after="0" w:line="240" w:lineRule="auto"/>
        <w:rPr>
          <w:rFonts w:ascii="ArialMT" w:hAnsi="ArialMT" w:cs="ArialMT"/>
          <w:color w:val="000000"/>
          <w:sz w:val="20"/>
          <w:szCs w:val="20"/>
        </w:rPr>
      </w:pPr>
      <w:proofErr w:type="gramStart"/>
      <w:r>
        <w:rPr>
          <w:rFonts w:ascii="ArialMT" w:hAnsi="ArialMT" w:cs="ArialMT"/>
          <w:color w:val="000000"/>
          <w:sz w:val="20"/>
          <w:szCs w:val="20"/>
        </w:rPr>
        <w:t>recettes</w:t>
      </w:r>
      <w:proofErr w:type="gramEnd"/>
      <w:r>
        <w:rPr>
          <w:rFonts w:ascii="ArialMT" w:hAnsi="ArialMT" w:cs="ArialMT"/>
          <w:color w:val="000000"/>
          <w:sz w:val="20"/>
          <w:szCs w:val="20"/>
        </w:rPr>
        <w:t xml:space="preserve"> générées par les ventes de produits et de prestations, il est calculé par le ratio du</w:t>
      </w:r>
    </w:p>
    <w:p w:rsidR="005B1B20" w:rsidRDefault="005B1B20" w:rsidP="005B1B20">
      <w:pPr>
        <w:autoSpaceDE w:val="0"/>
        <w:autoSpaceDN w:val="0"/>
        <w:adjustRightInd w:val="0"/>
        <w:spacing w:after="0" w:line="240" w:lineRule="auto"/>
        <w:rPr>
          <w:rFonts w:ascii="ArialMT" w:hAnsi="ArialMT" w:cs="ArialMT"/>
          <w:color w:val="000000"/>
          <w:sz w:val="20"/>
          <w:szCs w:val="20"/>
        </w:rPr>
      </w:pPr>
      <w:proofErr w:type="gramStart"/>
      <w:r>
        <w:rPr>
          <w:rFonts w:ascii="ArialMT" w:hAnsi="ArialMT" w:cs="ArialMT"/>
          <w:color w:val="000000"/>
          <w:sz w:val="20"/>
          <w:szCs w:val="20"/>
        </w:rPr>
        <w:t>montant</w:t>
      </w:r>
      <w:proofErr w:type="gramEnd"/>
      <w:r>
        <w:rPr>
          <w:rFonts w:ascii="ArialMT" w:hAnsi="ArialMT" w:cs="ArialMT"/>
          <w:color w:val="000000"/>
          <w:sz w:val="20"/>
          <w:szCs w:val="20"/>
        </w:rPr>
        <w:t xml:space="preserve"> des créances sur le montant des ventes de produits et de prestations selon la</w:t>
      </w:r>
    </w:p>
    <w:p w:rsidR="005B1B20" w:rsidRDefault="005B1B20" w:rsidP="005B1B20">
      <w:pPr>
        <w:autoSpaceDE w:val="0"/>
        <w:autoSpaceDN w:val="0"/>
        <w:adjustRightInd w:val="0"/>
        <w:spacing w:after="0" w:line="240" w:lineRule="auto"/>
        <w:rPr>
          <w:rFonts w:ascii="ArialMT" w:hAnsi="ArialMT" w:cs="ArialMT"/>
          <w:color w:val="000000"/>
          <w:sz w:val="20"/>
          <w:szCs w:val="20"/>
        </w:rPr>
      </w:pPr>
      <w:proofErr w:type="gramStart"/>
      <w:r>
        <w:rPr>
          <w:rFonts w:ascii="ArialMT" w:hAnsi="ArialMT" w:cs="ArialMT"/>
          <w:color w:val="000000"/>
          <w:sz w:val="20"/>
          <w:szCs w:val="20"/>
        </w:rPr>
        <w:t>formule</w:t>
      </w:r>
      <w:proofErr w:type="gramEnd"/>
      <w:r>
        <w:rPr>
          <w:rFonts w:ascii="ArialMT" w:hAnsi="ArialMT" w:cs="ArialMT"/>
          <w:color w:val="000000"/>
          <w:sz w:val="20"/>
          <w:szCs w:val="20"/>
        </w:rPr>
        <w:t xml:space="preserve"> suivante :</w:t>
      </w:r>
    </w:p>
    <w:p w:rsidR="005B1B20" w:rsidRDefault="005B1B20" w:rsidP="005B1B20">
      <w:pPr>
        <w:autoSpaceDE w:val="0"/>
        <w:autoSpaceDN w:val="0"/>
        <w:adjustRightInd w:val="0"/>
        <w:spacing w:after="0" w:line="240" w:lineRule="auto"/>
        <w:rPr>
          <w:rFonts w:ascii="ArialMT" w:hAnsi="ArialMT" w:cs="ArialMT"/>
          <w:color w:val="000000"/>
          <w:sz w:val="20"/>
          <w:szCs w:val="20"/>
        </w:rPr>
      </w:pPr>
      <w:proofErr w:type="spellStart"/>
      <w:r>
        <w:rPr>
          <w:rFonts w:ascii="ArialMT" w:hAnsi="ArialMT" w:cs="ArialMT"/>
          <w:color w:val="000000"/>
          <w:sz w:val="20"/>
          <w:szCs w:val="20"/>
        </w:rPr>
        <w:t>TmR</w:t>
      </w:r>
      <w:proofErr w:type="spellEnd"/>
      <w:r>
        <w:rPr>
          <w:rFonts w:ascii="ArialMT" w:hAnsi="ArialMT" w:cs="ArialMT"/>
          <w:color w:val="000000"/>
          <w:sz w:val="20"/>
          <w:szCs w:val="20"/>
        </w:rPr>
        <w:t xml:space="preserve"> = (cpt 41 / cpt 70)*100</w:t>
      </w:r>
    </w:p>
    <w:p w:rsidR="005B1B20" w:rsidRDefault="005B1B20" w:rsidP="005B1B20">
      <w:pPr>
        <w:autoSpaceDE w:val="0"/>
        <w:autoSpaceDN w:val="0"/>
        <w:adjustRightInd w:val="0"/>
        <w:spacing w:after="0" w:line="240" w:lineRule="auto"/>
        <w:rPr>
          <w:rFonts w:ascii="Arial" w:hAnsi="Arial" w:cs="Arial"/>
          <w:i/>
          <w:iCs/>
          <w:color w:val="000000"/>
          <w:sz w:val="20"/>
          <w:szCs w:val="20"/>
        </w:rPr>
      </w:pPr>
      <w:r>
        <w:rPr>
          <w:rFonts w:ascii="Arial" w:hAnsi="Arial" w:cs="Arial"/>
          <w:i/>
          <w:iCs/>
          <w:color w:val="000000"/>
          <w:sz w:val="20"/>
          <w:szCs w:val="20"/>
        </w:rPr>
        <w:t>Nota : Le taux moyen de recouvrement permet de s’affranchir de la seule donnée relative aux restes à</w:t>
      </w:r>
    </w:p>
    <w:p w:rsidR="005B1B20" w:rsidRDefault="005B1B20" w:rsidP="005B1B20">
      <w:pPr>
        <w:autoSpaceDE w:val="0"/>
        <w:autoSpaceDN w:val="0"/>
        <w:adjustRightInd w:val="0"/>
        <w:spacing w:after="0" w:line="240" w:lineRule="auto"/>
        <w:rPr>
          <w:rFonts w:ascii="Arial" w:hAnsi="Arial" w:cs="Arial"/>
          <w:i/>
          <w:iCs/>
          <w:color w:val="000000"/>
          <w:sz w:val="20"/>
          <w:szCs w:val="20"/>
        </w:rPr>
      </w:pPr>
      <w:proofErr w:type="gramStart"/>
      <w:r>
        <w:rPr>
          <w:rFonts w:ascii="Arial" w:hAnsi="Arial" w:cs="Arial"/>
          <w:i/>
          <w:iCs/>
          <w:color w:val="000000"/>
          <w:sz w:val="20"/>
          <w:szCs w:val="20"/>
        </w:rPr>
        <w:t>recouvrer</w:t>
      </w:r>
      <w:proofErr w:type="gramEnd"/>
      <w:r>
        <w:rPr>
          <w:rFonts w:ascii="Arial" w:hAnsi="Arial" w:cs="Arial"/>
          <w:i/>
          <w:iCs/>
          <w:color w:val="000000"/>
          <w:sz w:val="20"/>
          <w:szCs w:val="20"/>
        </w:rPr>
        <w:t xml:space="preserve"> qui peuvent augmenter dans le même pourcentage que le montant des recettes c'est-à-dire</w:t>
      </w:r>
    </w:p>
    <w:p w:rsidR="00C000B6" w:rsidRDefault="005B1B20" w:rsidP="005B1B20">
      <w:proofErr w:type="gramStart"/>
      <w:r>
        <w:rPr>
          <w:rFonts w:ascii="Arial" w:hAnsi="Arial" w:cs="Arial"/>
          <w:i/>
          <w:iCs/>
          <w:color w:val="000000"/>
          <w:sz w:val="20"/>
          <w:szCs w:val="20"/>
        </w:rPr>
        <w:t>sans</w:t>
      </w:r>
      <w:proofErr w:type="gramEnd"/>
      <w:r>
        <w:rPr>
          <w:rFonts w:ascii="Arial" w:hAnsi="Arial" w:cs="Arial"/>
          <w:i/>
          <w:iCs/>
          <w:color w:val="000000"/>
          <w:sz w:val="20"/>
          <w:szCs w:val="20"/>
        </w:rPr>
        <w:t xml:space="preserve"> augmenter le risque qui pèse sur le recouvrement.</w:t>
      </w:r>
    </w:p>
    <w:sectPr w:rsidR="00C000B6" w:rsidSect="00C000B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B1B20"/>
    <w:rsid w:val="005B1B20"/>
    <w:rsid w:val="00C000B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0B6"/>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1134</Words>
  <Characters>6237</Characters>
  <Application>Microsoft Office Word</Application>
  <DocSecurity>0</DocSecurity>
  <Lines>51</Lines>
  <Paragraphs>14</Paragraphs>
  <ScaleCrop>false</ScaleCrop>
  <Company/>
  <LinksUpToDate>false</LinksUpToDate>
  <CharactersWithSpaces>7357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fAMILLE</dc:creator>
  <cp:lastModifiedBy>fAMILLE</cp:lastModifiedBy>
  <cp:revision>1</cp:revision>
  <dcterms:created xsi:type="dcterms:W3CDTF">2011-12-28T09:00:00Z</dcterms:created>
  <dcterms:modified xsi:type="dcterms:W3CDTF">2011-12-28T09:09:00Z</dcterms:modified>
</cp:coreProperties>
</file>