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E6B" w:rsidRDefault="005E3E6B" w:rsidP="005E3E6B">
      <w:pPr>
        <w:autoSpaceDE w:val="0"/>
        <w:autoSpaceDN w:val="0"/>
        <w:adjustRightInd w:val="0"/>
        <w:spacing w:after="0" w:line="240" w:lineRule="auto"/>
        <w:rPr>
          <w:rFonts w:ascii="Arial" w:hAnsi="Arial" w:cs="Arial"/>
          <w:b/>
          <w:bCs/>
          <w:sz w:val="32"/>
          <w:szCs w:val="20"/>
        </w:rPr>
      </w:pPr>
      <w:r w:rsidRPr="005E3E6B">
        <w:rPr>
          <w:rFonts w:ascii="Arial" w:hAnsi="Arial" w:cs="Arial"/>
          <w:b/>
          <w:bCs/>
          <w:sz w:val="32"/>
          <w:szCs w:val="20"/>
        </w:rPr>
        <w:t>1235. La modification du budget</w:t>
      </w:r>
    </w:p>
    <w:p w:rsidR="005E3E6B" w:rsidRPr="005E3E6B" w:rsidRDefault="005E3E6B" w:rsidP="005E3E6B">
      <w:pPr>
        <w:autoSpaceDE w:val="0"/>
        <w:autoSpaceDN w:val="0"/>
        <w:adjustRightInd w:val="0"/>
        <w:spacing w:after="0" w:line="240" w:lineRule="auto"/>
        <w:rPr>
          <w:rFonts w:ascii="Arial" w:hAnsi="Arial" w:cs="Arial"/>
          <w:b/>
          <w:bCs/>
          <w:sz w:val="32"/>
          <w:szCs w:val="20"/>
        </w:rPr>
      </w:pPr>
    </w:p>
    <w:p w:rsidR="005E3E6B" w:rsidRDefault="005E3E6B" w:rsidP="005E3E6B">
      <w:pPr>
        <w:autoSpaceDE w:val="0"/>
        <w:autoSpaceDN w:val="0"/>
        <w:adjustRightInd w:val="0"/>
        <w:spacing w:after="0" w:line="240" w:lineRule="auto"/>
        <w:rPr>
          <w:rFonts w:ascii="ArialMT" w:hAnsi="ArialMT" w:cs="ArialMT"/>
          <w:sz w:val="20"/>
          <w:szCs w:val="20"/>
        </w:rPr>
      </w:pPr>
      <w:r w:rsidRPr="005E3E6B">
        <w:rPr>
          <w:rFonts w:ascii="ArialMT" w:hAnsi="ArialMT" w:cs="ArialMT"/>
          <w:b/>
          <w:color w:val="FF0000"/>
          <w:sz w:val="20"/>
          <w:szCs w:val="20"/>
          <w:u w:val="single"/>
        </w:rPr>
        <w:t>Le chef d’établissement peut procéder à tout virement à l’intérieur d’un service.</w:t>
      </w:r>
    </w:p>
    <w:p w:rsidR="005E3E6B" w:rsidRDefault="005E3E6B" w:rsidP="005E3E6B">
      <w:pPr>
        <w:autoSpaceDE w:val="0"/>
        <w:autoSpaceDN w:val="0"/>
        <w:adjustRightInd w:val="0"/>
        <w:spacing w:after="0" w:line="240" w:lineRule="auto"/>
        <w:rPr>
          <w:rFonts w:ascii="ArialMT" w:hAnsi="ArialMT" w:cs="ArialMT"/>
          <w:sz w:val="20"/>
          <w:szCs w:val="20"/>
        </w:rPr>
      </w:pPr>
      <w:r>
        <w:rPr>
          <w:rFonts w:ascii="ArialMT" w:hAnsi="ArialMT" w:cs="ArialMT"/>
          <w:sz w:val="20"/>
          <w:szCs w:val="20"/>
        </w:rPr>
        <w:t>Il en rend compte dès la prochaine réunion du conseil d’administration et lors du compte rendu d’exécution en fin d’exercice (compte financier). Ces modifications font l’objet d’un suivi budgétaire spécifique afin de faciliter le compte rendu. Ces virements internes n’ont pas le statut de décision budgétaire modificative car ils ne modifient pas sur le montant des crédits ouverts par service.</w:t>
      </w:r>
    </w:p>
    <w:p w:rsidR="005E3E6B" w:rsidRDefault="005E3E6B" w:rsidP="005E3E6B">
      <w:pPr>
        <w:autoSpaceDE w:val="0"/>
        <w:autoSpaceDN w:val="0"/>
        <w:adjustRightInd w:val="0"/>
        <w:spacing w:after="0" w:line="240" w:lineRule="auto"/>
        <w:rPr>
          <w:rFonts w:ascii="ArialMT" w:hAnsi="ArialMT" w:cs="ArialMT"/>
          <w:sz w:val="20"/>
          <w:szCs w:val="20"/>
        </w:rPr>
      </w:pPr>
    </w:p>
    <w:p w:rsidR="005E3E6B" w:rsidRPr="005E3E6B" w:rsidRDefault="005E3E6B" w:rsidP="005E3E6B">
      <w:pPr>
        <w:autoSpaceDE w:val="0"/>
        <w:autoSpaceDN w:val="0"/>
        <w:adjustRightInd w:val="0"/>
        <w:spacing w:after="0" w:line="240" w:lineRule="auto"/>
        <w:rPr>
          <w:rFonts w:ascii="ArialMT" w:hAnsi="ArialMT" w:cs="ArialMT"/>
          <w:b/>
          <w:color w:val="FF0000"/>
          <w:sz w:val="20"/>
          <w:szCs w:val="20"/>
          <w:u w:val="single"/>
        </w:rPr>
      </w:pPr>
      <w:r w:rsidRPr="005E3E6B">
        <w:rPr>
          <w:rFonts w:ascii="ArialMT" w:hAnsi="ArialMT" w:cs="ArialMT"/>
          <w:b/>
          <w:color w:val="FF0000"/>
          <w:sz w:val="20"/>
          <w:szCs w:val="20"/>
          <w:u w:val="single"/>
        </w:rPr>
        <w:t>Les modifications budgétaires sont des modifications qui impactent le montant total d’un service.</w:t>
      </w:r>
    </w:p>
    <w:p w:rsidR="005E3E6B" w:rsidRDefault="005E3E6B" w:rsidP="005E3E6B">
      <w:pPr>
        <w:autoSpaceDE w:val="0"/>
        <w:autoSpaceDN w:val="0"/>
        <w:adjustRightInd w:val="0"/>
        <w:spacing w:after="0" w:line="240" w:lineRule="auto"/>
        <w:rPr>
          <w:rFonts w:ascii="ArialMT" w:hAnsi="ArialMT" w:cs="ArialMT"/>
          <w:sz w:val="20"/>
          <w:szCs w:val="20"/>
        </w:rPr>
      </w:pPr>
      <w:r>
        <w:rPr>
          <w:rFonts w:ascii="ArialMT" w:hAnsi="ArialMT" w:cs="ArialMT"/>
          <w:sz w:val="20"/>
          <w:szCs w:val="20"/>
        </w:rPr>
        <w:t>Elles sont de deux ordres :</w:t>
      </w:r>
    </w:p>
    <w:p w:rsidR="005E3E6B" w:rsidRDefault="005E3E6B" w:rsidP="005E3E6B">
      <w:pPr>
        <w:autoSpaceDE w:val="0"/>
        <w:autoSpaceDN w:val="0"/>
        <w:adjustRightInd w:val="0"/>
        <w:spacing w:after="0" w:line="240" w:lineRule="auto"/>
        <w:rPr>
          <w:rFonts w:ascii="ArialMT" w:hAnsi="ArialMT" w:cs="ArialMT"/>
          <w:sz w:val="20"/>
          <w:szCs w:val="20"/>
        </w:rPr>
      </w:pPr>
    </w:p>
    <w:p w:rsidR="005E3E6B" w:rsidRDefault="005E3E6B" w:rsidP="005E3E6B">
      <w:pPr>
        <w:autoSpaceDE w:val="0"/>
        <w:autoSpaceDN w:val="0"/>
        <w:adjustRightInd w:val="0"/>
        <w:spacing w:after="0" w:line="240" w:lineRule="auto"/>
        <w:ind w:left="708"/>
        <w:rPr>
          <w:rFonts w:ascii="ArialMT" w:hAnsi="ArialMT" w:cs="ArialMT"/>
          <w:sz w:val="20"/>
          <w:szCs w:val="20"/>
        </w:rPr>
      </w:pPr>
      <w:r>
        <w:rPr>
          <w:rFonts w:ascii="ArialMT" w:hAnsi="ArialMT" w:cs="ArialMT"/>
          <w:sz w:val="20"/>
          <w:szCs w:val="20"/>
        </w:rPr>
        <w:t xml:space="preserve">- </w:t>
      </w:r>
      <w:r w:rsidRPr="005E3E6B">
        <w:rPr>
          <w:rFonts w:ascii="ArialMT" w:hAnsi="ArialMT" w:cs="ArialMT"/>
          <w:b/>
          <w:sz w:val="20"/>
          <w:szCs w:val="20"/>
        </w:rPr>
        <w:t>les décisions budgétaires modificativ</w:t>
      </w:r>
      <w:r>
        <w:rPr>
          <w:rFonts w:ascii="ArialMT" w:hAnsi="ArialMT" w:cs="ArialMT"/>
          <w:b/>
          <w:sz w:val="20"/>
          <w:szCs w:val="20"/>
        </w:rPr>
        <w:t xml:space="preserve">es, soumises au vote du conseil </w:t>
      </w:r>
      <w:r w:rsidRPr="005E3E6B">
        <w:rPr>
          <w:rFonts w:ascii="ArialMT" w:hAnsi="ArialMT" w:cs="ArialMT"/>
          <w:b/>
          <w:sz w:val="20"/>
          <w:szCs w:val="20"/>
        </w:rPr>
        <w:t>d’administration</w:t>
      </w:r>
      <w:r>
        <w:rPr>
          <w:rFonts w:ascii="ArialMT" w:hAnsi="ArialMT" w:cs="ArialMT"/>
          <w:sz w:val="20"/>
          <w:szCs w:val="20"/>
        </w:rPr>
        <w:t>, sont exécutoires dans un délai de 15 jours après accusé réception des autorités chargées du contrôle.</w:t>
      </w:r>
    </w:p>
    <w:p w:rsidR="005E3E6B" w:rsidRDefault="005E3E6B" w:rsidP="005E3E6B">
      <w:pPr>
        <w:autoSpaceDE w:val="0"/>
        <w:autoSpaceDN w:val="0"/>
        <w:adjustRightInd w:val="0"/>
        <w:spacing w:after="0" w:line="240" w:lineRule="auto"/>
        <w:ind w:left="1276"/>
        <w:rPr>
          <w:rFonts w:ascii="ArialMT" w:hAnsi="ArialMT" w:cs="ArialMT"/>
          <w:sz w:val="20"/>
          <w:szCs w:val="20"/>
        </w:rPr>
      </w:pPr>
      <w:r>
        <w:rPr>
          <w:rFonts w:ascii="ArialMT" w:hAnsi="ArialMT" w:cs="ArialMT"/>
          <w:sz w:val="20"/>
          <w:szCs w:val="20"/>
        </w:rPr>
        <w:t>Elles concernent notamment</w:t>
      </w:r>
    </w:p>
    <w:p w:rsidR="005E3E6B" w:rsidRDefault="005E3E6B" w:rsidP="005E3E6B">
      <w:pPr>
        <w:autoSpaceDE w:val="0"/>
        <w:autoSpaceDN w:val="0"/>
        <w:adjustRightInd w:val="0"/>
        <w:spacing w:after="0" w:line="240" w:lineRule="auto"/>
        <w:ind w:left="1985"/>
        <w:rPr>
          <w:rFonts w:ascii="ArialMT" w:hAnsi="ArialMT" w:cs="ArialMT"/>
          <w:sz w:val="20"/>
          <w:szCs w:val="20"/>
        </w:rPr>
      </w:pPr>
      <w:proofErr w:type="gramStart"/>
      <w:r>
        <w:rPr>
          <w:rFonts w:ascii="ArialMT" w:hAnsi="ArialMT" w:cs="ArialMT"/>
          <w:sz w:val="20"/>
          <w:szCs w:val="20"/>
        </w:rPr>
        <w:t>les</w:t>
      </w:r>
      <w:proofErr w:type="gramEnd"/>
      <w:r>
        <w:rPr>
          <w:rFonts w:ascii="ArialMT" w:hAnsi="ArialMT" w:cs="ArialMT"/>
          <w:sz w:val="20"/>
          <w:szCs w:val="20"/>
        </w:rPr>
        <w:t xml:space="preserve"> virements entre services,</w:t>
      </w:r>
    </w:p>
    <w:p w:rsidR="005E3E6B" w:rsidRDefault="005E3E6B" w:rsidP="005E3E6B">
      <w:pPr>
        <w:autoSpaceDE w:val="0"/>
        <w:autoSpaceDN w:val="0"/>
        <w:adjustRightInd w:val="0"/>
        <w:spacing w:after="0" w:line="240" w:lineRule="auto"/>
        <w:ind w:left="1985"/>
        <w:rPr>
          <w:rFonts w:ascii="ArialMT" w:hAnsi="ArialMT" w:cs="ArialMT"/>
          <w:sz w:val="20"/>
          <w:szCs w:val="20"/>
        </w:rPr>
      </w:pPr>
      <w:proofErr w:type="gramStart"/>
      <w:r>
        <w:rPr>
          <w:rFonts w:ascii="ArialMT" w:hAnsi="ArialMT" w:cs="ArialMT"/>
          <w:sz w:val="20"/>
          <w:szCs w:val="20"/>
        </w:rPr>
        <w:t>les</w:t>
      </w:r>
      <w:proofErr w:type="gramEnd"/>
      <w:r>
        <w:rPr>
          <w:rFonts w:ascii="ArialMT" w:hAnsi="ArialMT" w:cs="ArialMT"/>
          <w:sz w:val="20"/>
          <w:szCs w:val="20"/>
        </w:rPr>
        <w:t xml:space="preserve"> ressources nouvelles non spécifiques,</w:t>
      </w:r>
    </w:p>
    <w:p w:rsidR="005E3E6B" w:rsidRDefault="005E3E6B" w:rsidP="005E3E6B">
      <w:pPr>
        <w:autoSpaceDE w:val="0"/>
        <w:autoSpaceDN w:val="0"/>
        <w:adjustRightInd w:val="0"/>
        <w:spacing w:after="0" w:line="240" w:lineRule="auto"/>
        <w:ind w:left="1985"/>
        <w:rPr>
          <w:rFonts w:ascii="ArialMT" w:hAnsi="ArialMT" w:cs="ArialMT"/>
          <w:sz w:val="20"/>
          <w:szCs w:val="20"/>
        </w:rPr>
      </w:pPr>
      <w:proofErr w:type="gramStart"/>
      <w:r>
        <w:rPr>
          <w:rFonts w:ascii="ArialMT" w:hAnsi="ArialMT" w:cs="ArialMT"/>
          <w:sz w:val="20"/>
          <w:szCs w:val="20"/>
        </w:rPr>
        <w:t>les</w:t>
      </w:r>
      <w:proofErr w:type="gramEnd"/>
      <w:r>
        <w:rPr>
          <w:rFonts w:ascii="ArialMT" w:hAnsi="ArialMT" w:cs="ArialMT"/>
          <w:sz w:val="20"/>
          <w:szCs w:val="20"/>
        </w:rPr>
        <w:t xml:space="preserve"> prélèvements sur le fonds de roulement ;</w:t>
      </w:r>
    </w:p>
    <w:p w:rsidR="005E3E6B" w:rsidRDefault="005E3E6B" w:rsidP="005E3E6B">
      <w:pPr>
        <w:autoSpaceDE w:val="0"/>
        <w:autoSpaceDN w:val="0"/>
        <w:adjustRightInd w:val="0"/>
        <w:spacing w:after="0" w:line="240" w:lineRule="auto"/>
        <w:ind w:left="708"/>
        <w:rPr>
          <w:rFonts w:ascii="ArialMT" w:hAnsi="ArialMT" w:cs="ArialMT"/>
          <w:sz w:val="20"/>
          <w:szCs w:val="20"/>
        </w:rPr>
      </w:pPr>
    </w:p>
    <w:p w:rsidR="005E3E6B" w:rsidRDefault="005E3E6B" w:rsidP="005E3E6B">
      <w:pPr>
        <w:autoSpaceDE w:val="0"/>
        <w:autoSpaceDN w:val="0"/>
        <w:adjustRightInd w:val="0"/>
        <w:spacing w:after="0" w:line="240" w:lineRule="auto"/>
        <w:ind w:left="708"/>
        <w:rPr>
          <w:rFonts w:ascii="ArialMT" w:hAnsi="ArialMT" w:cs="ArialMT"/>
          <w:sz w:val="20"/>
          <w:szCs w:val="20"/>
        </w:rPr>
      </w:pPr>
      <w:r>
        <w:rPr>
          <w:rFonts w:ascii="ArialMT" w:hAnsi="ArialMT" w:cs="ArialMT"/>
          <w:sz w:val="20"/>
          <w:szCs w:val="20"/>
        </w:rPr>
        <w:t xml:space="preserve">- </w:t>
      </w:r>
      <w:r w:rsidRPr="005E3E6B">
        <w:rPr>
          <w:rFonts w:ascii="ArialMT" w:hAnsi="ArialMT" w:cs="ArialMT"/>
          <w:b/>
          <w:sz w:val="20"/>
          <w:szCs w:val="20"/>
        </w:rPr>
        <w:t>les décisions budgétaires modificatives non soumises au vote du CA</w:t>
      </w:r>
      <w:r>
        <w:rPr>
          <w:rFonts w:ascii="ArialMT" w:hAnsi="ArialMT" w:cs="ArialMT"/>
          <w:sz w:val="20"/>
          <w:szCs w:val="20"/>
        </w:rPr>
        <w:t xml:space="preserve">. </w:t>
      </w:r>
    </w:p>
    <w:p w:rsidR="005E3E6B" w:rsidRDefault="005E3E6B" w:rsidP="005E3E6B">
      <w:pPr>
        <w:autoSpaceDE w:val="0"/>
        <w:autoSpaceDN w:val="0"/>
        <w:adjustRightInd w:val="0"/>
        <w:spacing w:after="0" w:line="240" w:lineRule="auto"/>
        <w:ind w:left="1134"/>
        <w:rPr>
          <w:rFonts w:ascii="ArialMT" w:hAnsi="ArialMT" w:cs="ArialMT"/>
          <w:sz w:val="20"/>
          <w:szCs w:val="20"/>
        </w:rPr>
      </w:pPr>
      <w:r>
        <w:rPr>
          <w:rFonts w:ascii="ArialMT" w:hAnsi="ArialMT" w:cs="ArialMT"/>
          <w:sz w:val="20"/>
          <w:szCs w:val="20"/>
        </w:rPr>
        <w:t>Elles s’imposent principalement pour</w:t>
      </w:r>
    </w:p>
    <w:p w:rsidR="005E3E6B" w:rsidRDefault="005E3E6B" w:rsidP="005E3E6B">
      <w:pPr>
        <w:autoSpaceDE w:val="0"/>
        <w:autoSpaceDN w:val="0"/>
        <w:adjustRightInd w:val="0"/>
        <w:spacing w:after="0" w:line="240" w:lineRule="auto"/>
        <w:ind w:left="1843"/>
        <w:rPr>
          <w:rFonts w:ascii="ArialMT" w:hAnsi="ArialMT" w:cs="ArialMT"/>
          <w:sz w:val="20"/>
          <w:szCs w:val="20"/>
        </w:rPr>
      </w:pPr>
      <w:proofErr w:type="gramStart"/>
      <w:r>
        <w:rPr>
          <w:rFonts w:ascii="ArialMT" w:hAnsi="ArialMT" w:cs="ArialMT"/>
          <w:sz w:val="20"/>
          <w:szCs w:val="20"/>
        </w:rPr>
        <w:t>des</w:t>
      </w:r>
      <w:proofErr w:type="gramEnd"/>
      <w:r>
        <w:rPr>
          <w:rFonts w:ascii="ArialMT" w:hAnsi="ArialMT" w:cs="ArialMT"/>
          <w:sz w:val="20"/>
          <w:szCs w:val="20"/>
        </w:rPr>
        <w:t xml:space="preserve"> ressources nouvelles spécifiques</w:t>
      </w:r>
    </w:p>
    <w:p w:rsidR="005E3E6B" w:rsidRDefault="005E3E6B" w:rsidP="005E3E6B">
      <w:pPr>
        <w:autoSpaceDE w:val="0"/>
        <w:autoSpaceDN w:val="0"/>
        <w:adjustRightInd w:val="0"/>
        <w:spacing w:after="0" w:line="240" w:lineRule="auto"/>
        <w:ind w:left="1843"/>
        <w:rPr>
          <w:rFonts w:ascii="ArialMT" w:hAnsi="ArialMT" w:cs="ArialMT"/>
          <w:sz w:val="20"/>
          <w:szCs w:val="20"/>
        </w:rPr>
      </w:pPr>
      <w:proofErr w:type="gramStart"/>
      <w:r>
        <w:rPr>
          <w:rFonts w:ascii="ArialMT" w:hAnsi="ArialMT" w:cs="ArialMT"/>
          <w:sz w:val="20"/>
          <w:szCs w:val="20"/>
        </w:rPr>
        <w:t>la</w:t>
      </w:r>
      <w:proofErr w:type="gramEnd"/>
      <w:r>
        <w:rPr>
          <w:rFonts w:ascii="ArialMT" w:hAnsi="ArialMT" w:cs="ArialMT"/>
          <w:sz w:val="20"/>
          <w:szCs w:val="20"/>
        </w:rPr>
        <w:t xml:space="preserve"> </w:t>
      </w:r>
      <w:proofErr w:type="spellStart"/>
      <w:r>
        <w:rPr>
          <w:rFonts w:ascii="ArialMT" w:hAnsi="ArialMT" w:cs="ArialMT"/>
          <w:sz w:val="20"/>
          <w:szCs w:val="20"/>
        </w:rPr>
        <w:t>re</w:t>
      </w:r>
      <w:proofErr w:type="spellEnd"/>
      <w:r>
        <w:rPr>
          <w:rFonts w:ascii="ArialMT" w:hAnsi="ArialMT" w:cs="ArialMT"/>
          <w:sz w:val="20"/>
          <w:szCs w:val="20"/>
        </w:rPr>
        <w:t>-constatation du produit scolaire et les dotations aux amortissements non prévues au budget initial.</w:t>
      </w:r>
    </w:p>
    <w:p w:rsidR="005E3E6B" w:rsidRDefault="005E3E6B" w:rsidP="005E3E6B">
      <w:pPr>
        <w:autoSpaceDE w:val="0"/>
        <w:autoSpaceDN w:val="0"/>
        <w:adjustRightInd w:val="0"/>
        <w:spacing w:after="0" w:line="240" w:lineRule="auto"/>
        <w:ind w:left="1134"/>
        <w:rPr>
          <w:rFonts w:ascii="ArialMT" w:hAnsi="ArialMT" w:cs="ArialMT"/>
          <w:sz w:val="20"/>
          <w:szCs w:val="20"/>
        </w:rPr>
      </w:pPr>
      <w:r>
        <w:rPr>
          <w:rFonts w:ascii="ArialMT" w:hAnsi="ArialMT" w:cs="ArialMT"/>
          <w:sz w:val="20"/>
          <w:szCs w:val="20"/>
        </w:rPr>
        <w:t>Ces modifications sont immédiatement exécutoires.</w:t>
      </w:r>
    </w:p>
    <w:p w:rsidR="005E3E6B" w:rsidRDefault="005E3E6B" w:rsidP="005E3E6B">
      <w:pPr>
        <w:autoSpaceDE w:val="0"/>
        <w:autoSpaceDN w:val="0"/>
        <w:adjustRightInd w:val="0"/>
        <w:spacing w:after="0" w:line="240" w:lineRule="auto"/>
        <w:ind w:left="1134"/>
        <w:rPr>
          <w:rFonts w:ascii="ArialMT" w:hAnsi="ArialMT" w:cs="ArialMT"/>
          <w:sz w:val="20"/>
          <w:szCs w:val="20"/>
        </w:rPr>
      </w:pPr>
    </w:p>
    <w:p w:rsidR="005E3E6B" w:rsidRDefault="005E3E6B" w:rsidP="005E3E6B">
      <w:pPr>
        <w:autoSpaceDE w:val="0"/>
        <w:autoSpaceDN w:val="0"/>
        <w:adjustRightInd w:val="0"/>
        <w:spacing w:after="0" w:line="240" w:lineRule="auto"/>
        <w:ind w:left="708"/>
        <w:rPr>
          <w:rFonts w:ascii="ArialMT" w:hAnsi="ArialMT" w:cs="ArialMT"/>
          <w:sz w:val="20"/>
          <w:szCs w:val="20"/>
        </w:rPr>
      </w:pPr>
      <w:r>
        <w:rPr>
          <w:rFonts w:ascii="ArialMT" w:hAnsi="ArialMT" w:cs="ArialMT"/>
          <w:sz w:val="20"/>
          <w:szCs w:val="20"/>
        </w:rPr>
        <w:t>Le chef d’établissement rend compte au CA de ces modifications apportées sans son vote.</w:t>
      </w:r>
    </w:p>
    <w:p w:rsidR="00407DC9" w:rsidRDefault="005E3E6B" w:rsidP="005E3E6B">
      <w:pPr>
        <w:ind w:left="708"/>
      </w:pPr>
      <w:r>
        <w:rPr>
          <w:rFonts w:ascii="ArialMT" w:hAnsi="ArialMT" w:cs="ArialMT"/>
          <w:sz w:val="20"/>
          <w:szCs w:val="20"/>
        </w:rPr>
        <w:t>Le chef d’établissement informe l’agent comptable des modifications budgétaires exécutoires.</w:t>
      </w:r>
    </w:p>
    <w:p w:rsidR="005E3E6B" w:rsidRPr="005E3E6B" w:rsidRDefault="005E3E6B" w:rsidP="005E3E6B">
      <w:pPr>
        <w:autoSpaceDE w:val="0"/>
        <w:autoSpaceDN w:val="0"/>
        <w:adjustRightInd w:val="0"/>
        <w:spacing w:after="0" w:line="240" w:lineRule="auto"/>
        <w:rPr>
          <w:rFonts w:ascii="Arial" w:hAnsi="Arial" w:cs="Arial"/>
          <w:b/>
          <w:bCs/>
          <w:sz w:val="28"/>
          <w:szCs w:val="20"/>
        </w:rPr>
      </w:pPr>
      <w:r w:rsidRPr="005E3E6B">
        <w:rPr>
          <w:rFonts w:ascii="Arial" w:hAnsi="Arial" w:cs="Arial"/>
          <w:b/>
          <w:bCs/>
          <w:sz w:val="28"/>
          <w:szCs w:val="20"/>
        </w:rPr>
        <w:t>12133. Les ressources spécifiques : principes généraux</w:t>
      </w:r>
    </w:p>
    <w:p w:rsidR="005E3E6B" w:rsidRDefault="005E3E6B" w:rsidP="005E3E6B">
      <w:pPr>
        <w:autoSpaceDE w:val="0"/>
        <w:autoSpaceDN w:val="0"/>
        <w:adjustRightInd w:val="0"/>
        <w:spacing w:after="0" w:line="240" w:lineRule="auto"/>
        <w:rPr>
          <w:rFonts w:ascii="ArialMT" w:hAnsi="ArialMT" w:cs="ArialMT"/>
          <w:color w:val="000000"/>
          <w:sz w:val="20"/>
          <w:szCs w:val="20"/>
        </w:rPr>
      </w:pP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Conformément à l’article R421-66 du code de l’éducation, « les produits attribués à l'établissement avec une destination déterminée, les subventions des organismes publics et privés, les dons et legs,</w:t>
      </w:r>
    </w:p>
    <w:p w:rsidR="005E3E6B" w:rsidRDefault="005E3E6B" w:rsidP="005E3E6B">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les</w:t>
      </w:r>
      <w:proofErr w:type="gramEnd"/>
      <w:r>
        <w:rPr>
          <w:rFonts w:ascii="ArialMT" w:hAnsi="ArialMT" w:cs="ArialMT"/>
          <w:color w:val="000000"/>
          <w:sz w:val="20"/>
          <w:szCs w:val="20"/>
        </w:rPr>
        <w:t xml:space="preserve"> bourses, la taxe d’apprentissage… doivent conserver leur affectation ».</w:t>
      </w:r>
    </w:p>
    <w:p w:rsidR="005E3E6B" w:rsidRDefault="005E3E6B" w:rsidP="005E3E6B">
      <w:pPr>
        <w:autoSpaceDE w:val="0"/>
        <w:autoSpaceDN w:val="0"/>
        <w:adjustRightInd w:val="0"/>
        <w:spacing w:after="0" w:line="240" w:lineRule="auto"/>
        <w:rPr>
          <w:rFonts w:ascii="ArialMT" w:hAnsi="ArialMT" w:cs="ArialMT"/>
          <w:color w:val="000000"/>
          <w:sz w:val="20"/>
          <w:szCs w:val="20"/>
        </w:rPr>
      </w:pP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L’ordonnateur dispose des moyens suivants pour retracer l’affectation de ces ressources et leur</w:t>
      </w:r>
    </w:p>
    <w:p w:rsidR="005E3E6B" w:rsidRDefault="005E3E6B" w:rsidP="005E3E6B">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emploi</w:t>
      </w:r>
      <w:proofErr w:type="gramEnd"/>
      <w:r>
        <w:rPr>
          <w:rFonts w:ascii="ArialMT" w:hAnsi="ArialMT" w:cs="ArialMT"/>
          <w:color w:val="000000"/>
          <w:sz w:val="20"/>
          <w:szCs w:val="20"/>
        </w:rPr>
        <w:t xml:space="preserve"> :</w:t>
      </w:r>
    </w:p>
    <w:p w:rsidR="005E3E6B" w:rsidRDefault="005E3E6B" w:rsidP="005E3E6B">
      <w:pPr>
        <w:autoSpaceDE w:val="0"/>
        <w:autoSpaceDN w:val="0"/>
        <w:adjustRightInd w:val="0"/>
        <w:spacing w:after="0" w:line="240" w:lineRule="auto"/>
        <w:ind w:left="851"/>
        <w:rPr>
          <w:rFonts w:ascii="ArialMT" w:hAnsi="ArialMT" w:cs="ArialMT"/>
          <w:color w:val="000000"/>
          <w:sz w:val="20"/>
          <w:szCs w:val="20"/>
        </w:rPr>
      </w:pPr>
      <w:r>
        <w:rPr>
          <w:rFonts w:ascii="ArialMT" w:hAnsi="ArialMT" w:cs="ArialMT"/>
          <w:color w:val="000000"/>
          <w:sz w:val="20"/>
          <w:szCs w:val="20"/>
        </w:rPr>
        <w:t>- inscription aux subdivisions budgétaires correspondant à la destination de ces recettes domaine, activité) ;</w:t>
      </w:r>
    </w:p>
    <w:p w:rsidR="005E3E6B" w:rsidRDefault="005E3E6B" w:rsidP="005E3E6B">
      <w:pPr>
        <w:autoSpaceDE w:val="0"/>
        <w:autoSpaceDN w:val="0"/>
        <w:adjustRightInd w:val="0"/>
        <w:spacing w:after="0" w:line="240" w:lineRule="auto"/>
        <w:ind w:left="851"/>
        <w:rPr>
          <w:rFonts w:ascii="ArialMT" w:hAnsi="ArialMT" w:cs="ArialMT"/>
          <w:color w:val="000000"/>
          <w:sz w:val="20"/>
          <w:szCs w:val="20"/>
        </w:rPr>
      </w:pPr>
      <w:r>
        <w:rPr>
          <w:rFonts w:ascii="ArialMT" w:hAnsi="ArialMT" w:cs="ArialMT"/>
          <w:color w:val="000000"/>
          <w:sz w:val="20"/>
          <w:szCs w:val="20"/>
        </w:rPr>
        <w:t>- inscription des ressources à un service spécial (service des bourses nationales), un budget annexe, ou un service à comptabilité distincte ;</w:t>
      </w:r>
    </w:p>
    <w:p w:rsidR="005E3E6B" w:rsidRDefault="005E3E6B" w:rsidP="005E3E6B">
      <w:pPr>
        <w:autoSpaceDE w:val="0"/>
        <w:autoSpaceDN w:val="0"/>
        <w:adjustRightInd w:val="0"/>
        <w:spacing w:after="0" w:line="240" w:lineRule="auto"/>
        <w:ind w:left="851"/>
        <w:rPr>
          <w:rFonts w:ascii="ArialMT" w:hAnsi="ArialMT" w:cs="ArialMT"/>
          <w:color w:val="000000"/>
          <w:sz w:val="20"/>
          <w:szCs w:val="20"/>
        </w:rPr>
      </w:pPr>
      <w:r>
        <w:rPr>
          <w:rFonts w:ascii="ArialMT" w:hAnsi="ArialMT" w:cs="ArialMT"/>
          <w:color w:val="000000"/>
          <w:sz w:val="20"/>
          <w:szCs w:val="20"/>
        </w:rPr>
        <w:t>- instauration de systèmes de suivi extra – comptable, voire une comptabilité analytique permettant de mettre en regard certaines recettes avec certaines dépenses.</w:t>
      </w:r>
    </w:p>
    <w:p w:rsidR="005E3E6B" w:rsidRDefault="005E3E6B" w:rsidP="005E3E6B">
      <w:pPr>
        <w:autoSpaceDE w:val="0"/>
        <w:autoSpaceDN w:val="0"/>
        <w:adjustRightInd w:val="0"/>
        <w:spacing w:after="0" w:line="240" w:lineRule="auto"/>
        <w:ind w:left="851"/>
        <w:rPr>
          <w:rFonts w:ascii="ArialMT" w:hAnsi="ArialMT" w:cs="ArialMT"/>
          <w:color w:val="000000"/>
          <w:sz w:val="20"/>
          <w:szCs w:val="20"/>
        </w:rPr>
      </w:pPr>
      <w:r>
        <w:rPr>
          <w:rFonts w:ascii="ArialMT" w:hAnsi="ArialMT" w:cs="ArialMT"/>
          <w:color w:val="000000"/>
          <w:sz w:val="20"/>
          <w:szCs w:val="20"/>
        </w:rPr>
        <w:t>Parmi ces ressources, certaines d’entre elles obéissent à des critères particuliers et sont classées dans les ressources affectées.</w:t>
      </w:r>
    </w:p>
    <w:p w:rsidR="005E3E6B" w:rsidRDefault="005E3E6B" w:rsidP="005E3E6B">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121331. Les critères des "ressources affectées"</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Avant de classer une opération dans la catégorie des ressources affectées, les établissements publics doivent s'assurer que les trois critères suivants se trouvent remplis simultanément :</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il existe des obligations réciproques entre l'établissement public et le bailleur de fonds. Ces obligations prennent notamment la forme d'un contrat, d'une convention ou éventuellement d'une notification de subvention conditionnant expressément l'acquisition des crédits à la réalisation effective de certaines dépenses ;</w:t>
      </w:r>
    </w:p>
    <w:p w:rsidR="005E3E6B" w:rsidRPr="005E3E6B" w:rsidRDefault="005E3E6B" w:rsidP="005E3E6B">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 l'établissement public doit prouver qu'il respecte ses engagements contractuels par </w:t>
      </w:r>
      <w:r>
        <w:rPr>
          <w:rFonts w:ascii="Arial" w:hAnsi="Arial" w:cs="Arial"/>
          <w:i/>
          <w:iCs/>
          <w:color w:val="000000"/>
          <w:sz w:val="20"/>
          <w:szCs w:val="20"/>
        </w:rPr>
        <w:t>la production d'un compte rendu financier</w:t>
      </w:r>
      <w:r>
        <w:rPr>
          <w:rFonts w:ascii="ArialMT" w:hAnsi="ArialMT" w:cs="ArialMT"/>
          <w:color w:val="000000"/>
          <w:sz w:val="20"/>
          <w:szCs w:val="20"/>
        </w:rPr>
        <w:t>, c'est-à-dire un relevé des dépenses effectuées</w:t>
      </w:r>
      <w:r>
        <w:rPr>
          <w:rFonts w:ascii="Arial" w:hAnsi="Arial" w:cs="Arial"/>
          <w:i/>
          <w:iCs/>
          <w:color w:val="000000"/>
          <w:sz w:val="20"/>
          <w:szCs w:val="20"/>
        </w:rPr>
        <w:t xml:space="preserve"> </w:t>
      </w:r>
      <w:r>
        <w:rPr>
          <w:rFonts w:ascii="ArialMT" w:hAnsi="ArialMT" w:cs="ArialMT"/>
          <w:color w:val="000000"/>
          <w:sz w:val="20"/>
          <w:szCs w:val="20"/>
        </w:rPr>
        <w:t>dans le cadre de l'opération, certifié par l'agent comptable ; cette obligation a pour</w:t>
      </w:r>
      <w:r>
        <w:rPr>
          <w:rFonts w:ascii="Arial" w:hAnsi="Arial" w:cs="Arial"/>
          <w:i/>
          <w:iCs/>
          <w:color w:val="000000"/>
          <w:sz w:val="20"/>
          <w:szCs w:val="20"/>
        </w:rPr>
        <w:t xml:space="preserve"> </w:t>
      </w:r>
      <w:r>
        <w:rPr>
          <w:rFonts w:ascii="ArialMT" w:hAnsi="ArialMT" w:cs="ArialMT"/>
          <w:color w:val="000000"/>
          <w:sz w:val="20"/>
          <w:szCs w:val="20"/>
        </w:rPr>
        <w:t>conséquence que le bailleur de fonds peut éventuellement refuser d'assumer la couverture</w:t>
      </w:r>
      <w:r>
        <w:rPr>
          <w:rFonts w:ascii="Arial" w:hAnsi="Arial" w:cs="Arial"/>
          <w:i/>
          <w:iCs/>
          <w:color w:val="000000"/>
          <w:sz w:val="20"/>
          <w:szCs w:val="20"/>
        </w:rPr>
        <w:t xml:space="preserve"> </w:t>
      </w:r>
      <w:r>
        <w:rPr>
          <w:rFonts w:ascii="ArialMT" w:hAnsi="ArialMT" w:cs="ArialMT"/>
          <w:color w:val="000000"/>
          <w:sz w:val="20"/>
          <w:szCs w:val="20"/>
        </w:rPr>
        <w:t>de dépenses non conformes à l'engagement initial, ce qui laisse ces dépenses</w:t>
      </w:r>
      <w:r>
        <w:rPr>
          <w:rFonts w:ascii="Arial" w:hAnsi="Arial" w:cs="Arial"/>
          <w:i/>
          <w:iCs/>
          <w:color w:val="000000"/>
          <w:sz w:val="20"/>
          <w:szCs w:val="20"/>
        </w:rPr>
        <w:t xml:space="preserve"> </w:t>
      </w:r>
      <w:r>
        <w:rPr>
          <w:rFonts w:ascii="ArialMT" w:hAnsi="ArialMT" w:cs="ArialMT"/>
          <w:color w:val="000000"/>
          <w:sz w:val="20"/>
          <w:szCs w:val="20"/>
        </w:rPr>
        <w:t>définitivement à la charge de l'établissement public ;</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lastRenderedPageBreak/>
        <w:t>- les sommes non employées pour la réalisation des obligations de l'établissement public</w:t>
      </w:r>
      <w:r w:rsidR="00C94968">
        <w:rPr>
          <w:rFonts w:ascii="ArialMT" w:hAnsi="ArialMT" w:cs="ArialMT"/>
          <w:color w:val="000000"/>
          <w:sz w:val="20"/>
          <w:szCs w:val="20"/>
        </w:rPr>
        <w:t xml:space="preserve"> </w:t>
      </w:r>
      <w:r>
        <w:rPr>
          <w:rFonts w:ascii="ArialMT" w:hAnsi="ArialMT" w:cs="ArialMT"/>
          <w:color w:val="000000"/>
          <w:sz w:val="20"/>
          <w:szCs w:val="20"/>
        </w:rPr>
        <w:t xml:space="preserve">doivent être reversées </w:t>
      </w:r>
      <w:r>
        <w:rPr>
          <w:rFonts w:ascii="Arial" w:hAnsi="Arial" w:cs="Arial"/>
          <w:i/>
          <w:iCs/>
          <w:color w:val="000000"/>
          <w:sz w:val="20"/>
          <w:szCs w:val="20"/>
        </w:rPr>
        <w:t xml:space="preserve">au bailleur de fonds, </w:t>
      </w:r>
      <w:r>
        <w:rPr>
          <w:rFonts w:ascii="ArialMT" w:hAnsi="ArialMT" w:cs="ArialMT"/>
          <w:color w:val="000000"/>
          <w:sz w:val="20"/>
          <w:szCs w:val="20"/>
        </w:rPr>
        <w:t>sauf si celui-ci décide d'en laisser la libre</w:t>
      </w:r>
      <w:r w:rsidR="00C94968">
        <w:rPr>
          <w:rFonts w:ascii="ArialMT" w:hAnsi="ArialMT" w:cs="ArialMT"/>
          <w:color w:val="000000"/>
          <w:sz w:val="20"/>
          <w:szCs w:val="20"/>
        </w:rPr>
        <w:t xml:space="preserve"> </w:t>
      </w:r>
      <w:r>
        <w:rPr>
          <w:rFonts w:ascii="ArialMT" w:hAnsi="ArialMT" w:cs="ArialMT"/>
          <w:color w:val="000000"/>
          <w:sz w:val="20"/>
          <w:szCs w:val="20"/>
        </w:rPr>
        <w:t>disposition à l'établissement. Dans cette deuxième hypothèse, ces reliquats ne sont plus</w:t>
      </w:r>
      <w:r w:rsidR="00C94968">
        <w:rPr>
          <w:rFonts w:ascii="ArialMT" w:hAnsi="ArialMT" w:cs="ArialMT"/>
          <w:color w:val="000000"/>
          <w:sz w:val="20"/>
          <w:szCs w:val="20"/>
        </w:rPr>
        <w:t xml:space="preserve"> </w:t>
      </w:r>
      <w:r>
        <w:rPr>
          <w:rFonts w:ascii="ArialMT" w:hAnsi="ArialMT" w:cs="ArialMT"/>
          <w:color w:val="000000"/>
          <w:sz w:val="20"/>
          <w:szCs w:val="20"/>
        </w:rPr>
        <w:t>soumis à affectation.</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comptes 4684 « produits à recevoir sur ressources affectées », qui représentent le montant des</w:t>
      </w:r>
      <w:r w:rsidR="00C94968">
        <w:rPr>
          <w:rFonts w:ascii="ArialMT" w:hAnsi="ArialMT" w:cs="ArialMT"/>
          <w:color w:val="000000"/>
          <w:sz w:val="20"/>
          <w:szCs w:val="20"/>
        </w:rPr>
        <w:t xml:space="preserve"> </w:t>
      </w:r>
      <w:r>
        <w:rPr>
          <w:rFonts w:ascii="ArialMT" w:hAnsi="ArialMT" w:cs="ArialMT"/>
          <w:color w:val="000000"/>
          <w:sz w:val="20"/>
          <w:szCs w:val="20"/>
        </w:rPr>
        <w:t>fonds à recevoir et les comptes 4682 « charges à payer sur ressources affectées », qui représentent</w:t>
      </w:r>
      <w:r w:rsidR="00C94968">
        <w:rPr>
          <w:rFonts w:ascii="ArialMT" w:hAnsi="ArialMT" w:cs="ArialMT"/>
          <w:color w:val="000000"/>
          <w:sz w:val="20"/>
          <w:szCs w:val="20"/>
        </w:rPr>
        <w:t xml:space="preserve"> </w:t>
      </w:r>
      <w:r>
        <w:rPr>
          <w:rFonts w:ascii="ArialMT" w:hAnsi="ArialMT" w:cs="ArialMT"/>
          <w:color w:val="000000"/>
          <w:sz w:val="20"/>
          <w:szCs w:val="20"/>
        </w:rPr>
        <w:t>le montant des fonds restant disponibles permettent le suivi de ces ressources.</w:t>
      </w:r>
    </w:p>
    <w:p w:rsidR="005E3E6B" w:rsidRDefault="005E3E6B" w:rsidP="005E3E6B">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121332. Les caractéristiques des opérations en ressources affectées</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mise en place d'une procédure de suivi en « ressources affectées », dérogatoire aux règles</w:t>
      </w:r>
      <w:r w:rsidR="00C94968">
        <w:rPr>
          <w:rFonts w:ascii="ArialMT" w:hAnsi="ArialMT" w:cs="ArialMT"/>
          <w:color w:val="000000"/>
          <w:sz w:val="20"/>
          <w:szCs w:val="20"/>
        </w:rPr>
        <w:t xml:space="preserve"> </w:t>
      </w:r>
      <w:r>
        <w:rPr>
          <w:rFonts w:ascii="ArialMT" w:hAnsi="ArialMT" w:cs="ArialMT"/>
          <w:color w:val="000000"/>
          <w:sz w:val="20"/>
          <w:szCs w:val="20"/>
        </w:rPr>
        <w:t>budgétaires et comptables en vigueur dans les établissements publics locaux d’enseignement, permet</w:t>
      </w:r>
      <w:r w:rsidR="00C94968">
        <w:rPr>
          <w:rFonts w:ascii="ArialMT" w:hAnsi="ArialMT" w:cs="ArialMT"/>
          <w:color w:val="000000"/>
          <w:sz w:val="20"/>
          <w:szCs w:val="20"/>
        </w:rPr>
        <w:t xml:space="preserve"> </w:t>
      </w:r>
      <w:r>
        <w:rPr>
          <w:rFonts w:ascii="ArialMT" w:hAnsi="ArialMT" w:cs="ArialMT"/>
          <w:color w:val="000000"/>
          <w:sz w:val="20"/>
          <w:szCs w:val="20"/>
        </w:rPr>
        <w:t>d'apporter une réponse appropriée aux caractéristiques particulières de certaines opérations. Ces</w:t>
      </w:r>
      <w:r w:rsidR="00C94968">
        <w:rPr>
          <w:rFonts w:ascii="ArialMT" w:hAnsi="ArialMT" w:cs="ArialMT"/>
          <w:color w:val="000000"/>
          <w:sz w:val="20"/>
          <w:szCs w:val="20"/>
        </w:rPr>
        <w:t xml:space="preserve"> </w:t>
      </w:r>
      <w:r>
        <w:rPr>
          <w:rFonts w:ascii="ArialMT" w:hAnsi="ArialMT" w:cs="ArialMT"/>
          <w:color w:val="000000"/>
          <w:sz w:val="20"/>
          <w:szCs w:val="20"/>
        </w:rPr>
        <w:t>caractéristiques sont les suivantes :</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la recette </w:t>
      </w:r>
      <w:proofErr w:type="gramStart"/>
      <w:r>
        <w:rPr>
          <w:rFonts w:ascii="ArialMT" w:hAnsi="ArialMT" w:cs="ArialMT"/>
          <w:color w:val="000000"/>
          <w:sz w:val="20"/>
          <w:szCs w:val="20"/>
        </w:rPr>
        <w:t>a</w:t>
      </w:r>
      <w:proofErr w:type="gramEnd"/>
      <w:r>
        <w:rPr>
          <w:rFonts w:ascii="ArialMT" w:hAnsi="ArialMT" w:cs="ArialMT"/>
          <w:color w:val="000000"/>
          <w:sz w:val="20"/>
          <w:szCs w:val="20"/>
        </w:rPr>
        <w:t xml:space="preserve"> une affectation précise, c'est-à-dire que l'établissement public doit en faire un</w:t>
      </w:r>
      <w:r w:rsidR="00C94968">
        <w:rPr>
          <w:rFonts w:ascii="ArialMT" w:hAnsi="ArialMT" w:cs="ArialMT"/>
          <w:color w:val="000000"/>
          <w:sz w:val="20"/>
          <w:szCs w:val="20"/>
        </w:rPr>
        <w:t xml:space="preserve"> </w:t>
      </w:r>
      <w:r>
        <w:rPr>
          <w:rFonts w:ascii="ArialMT" w:hAnsi="ArialMT" w:cs="ArialMT"/>
          <w:color w:val="000000"/>
          <w:sz w:val="20"/>
          <w:szCs w:val="20"/>
        </w:rPr>
        <w:t>usage spécifique, défini par le bailleur de fonds ;</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le montant de </w:t>
      </w:r>
      <w:r>
        <w:rPr>
          <w:rFonts w:ascii="Arial" w:hAnsi="Arial" w:cs="Arial"/>
          <w:i/>
          <w:iCs/>
          <w:color w:val="000000"/>
          <w:sz w:val="20"/>
          <w:szCs w:val="20"/>
        </w:rPr>
        <w:t xml:space="preserve">la recette est égal au montant de la charge </w:t>
      </w:r>
      <w:r>
        <w:rPr>
          <w:rFonts w:ascii="ArialMT" w:hAnsi="ArialMT" w:cs="ArialMT"/>
          <w:color w:val="000000"/>
          <w:sz w:val="20"/>
          <w:szCs w:val="20"/>
        </w:rPr>
        <w:t>qui incombe à l'établissement</w:t>
      </w:r>
      <w:r w:rsidR="00C94968">
        <w:rPr>
          <w:rFonts w:ascii="ArialMT" w:hAnsi="ArialMT" w:cs="ArialMT"/>
          <w:color w:val="000000"/>
          <w:sz w:val="20"/>
          <w:szCs w:val="20"/>
        </w:rPr>
        <w:t xml:space="preserve"> </w:t>
      </w:r>
      <w:r>
        <w:rPr>
          <w:rFonts w:ascii="ArialMT" w:hAnsi="ArialMT" w:cs="ArialMT"/>
          <w:color w:val="000000"/>
          <w:sz w:val="20"/>
          <w:szCs w:val="20"/>
        </w:rPr>
        <w:t>public ;</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la recette n'est </w:t>
      </w:r>
      <w:r>
        <w:rPr>
          <w:rFonts w:ascii="Arial" w:hAnsi="Arial" w:cs="Arial"/>
          <w:i/>
          <w:iCs/>
          <w:color w:val="000000"/>
          <w:sz w:val="20"/>
          <w:szCs w:val="20"/>
        </w:rPr>
        <w:t xml:space="preserve">définitivement acquise </w:t>
      </w:r>
      <w:r>
        <w:rPr>
          <w:rFonts w:ascii="ArialMT" w:hAnsi="ArialMT" w:cs="ArialMT"/>
          <w:color w:val="000000"/>
          <w:sz w:val="20"/>
          <w:szCs w:val="20"/>
        </w:rPr>
        <w:t>à l'établissement public que lorsque celui-ci a effectué</w:t>
      </w:r>
    </w:p>
    <w:p w:rsidR="005E3E6B" w:rsidRDefault="005E3E6B" w:rsidP="005E3E6B">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la</w:t>
      </w:r>
      <w:proofErr w:type="gramEnd"/>
      <w:r>
        <w:rPr>
          <w:rFonts w:ascii="ArialMT" w:hAnsi="ArialMT" w:cs="ArialMT"/>
          <w:color w:val="000000"/>
          <w:sz w:val="20"/>
          <w:szCs w:val="20"/>
        </w:rPr>
        <w:t xml:space="preserve"> dépense correspondante.</w:t>
      </w:r>
    </w:p>
    <w:p w:rsidR="005E3E6B" w:rsidRDefault="005E3E6B" w:rsidP="005E3E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Ce sont ces éléments qui fondent le régime particulier des « ressources affectées ».</w:t>
      </w:r>
    </w:p>
    <w:p w:rsidR="005E3E6B" w:rsidRPr="00C94968" w:rsidRDefault="005E3E6B" w:rsidP="00C94968">
      <w:pPr>
        <w:autoSpaceDE w:val="0"/>
        <w:autoSpaceDN w:val="0"/>
        <w:adjustRightInd w:val="0"/>
        <w:spacing w:after="0" w:line="240" w:lineRule="auto"/>
        <w:rPr>
          <w:rFonts w:ascii="Arial" w:hAnsi="Arial" w:cs="Arial"/>
          <w:i/>
          <w:iCs/>
          <w:color w:val="000000"/>
          <w:sz w:val="20"/>
          <w:szCs w:val="20"/>
        </w:rPr>
      </w:pPr>
      <w:r>
        <w:rPr>
          <w:rFonts w:ascii="ArialMT" w:hAnsi="ArialMT" w:cs="ArialMT"/>
          <w:color w:val="000000"/>
          <w:sz w:val="20"/>
          <w:szCs w:val="20"/>
        </w:rPr>
        <w:t xml:space="preserve">Les opérations effectuées dans un tel cadre correspondent souvent à la notion de </w:t>
      </w:r>
      <w:r>
        <w:rPr>
          <w:rFonts w:ascii="Arial" w:hAnsi="Arial" w:cs="Arial"/>
          <w:i/>
          <w:iCs/>
          <w:color w:val="000000"/>
          <w:sz w:val="20"/>
          <w:szCs w:val="20"/>
        </w:rPr>
        <w:t>mandat donné à</w:t>
      </w:r>
      <w:r w:rsidR="00C94968">
        <w:rPr>
          <w:rFonts w:ascii="Arial" w:hAnsi="Arial" w:cs="Arial"/>
          <w:i/>
          <w:iCs/>
          <w:color w:val="000000"/>
          <w:sz w:val="20"/>
          <w:szCs w:val="20"/>
        </w:rPr>
        <w:t xml:space="preserve"> </w:t>
      </w:r>
      <w:r>
        <w:rPr>
          <w:rFonts w:ascii="Arial" w:hAnsi="Arial" w:cs="Arial"/>
          <w:i/>
          <w:iCs/>
          <w:color w:val="000000"/>
          <w:sz w:val="20"/>
          <w:szCs w:val="20"/>
        </w:rPr>
        <w:t>l'établissement public</w:t>
      </w:r>
      <w:r>
        <w:rPr>
          <w:rFonts w:ascii="ArialMT" w:hAnsi="ArialMT" w:cs="ArialMT"/>
          <w:color w:val="000000"/>
          <w:sz w:val="20"/>
          <w:szCs w:val="20"/>
        </w:rPr>
        <w:t>, pour accomplir en lieu et place d'un tiers, les actions concernées. Il convient</w:t>
      </w:r>
      <w:r w:rsidR="00C94968">
        <w:rPr>
          <w:rFonts w:ascii="Arial" w:hAnsi="Arial" w:cs="Arial"/>
          <w:i/>
          <w:iCs/>
          <w:color w:val="000000"/>
          <w:sz w:val="20"/>
          <w:szCs w:val="20"/>
        </w:rPr>
        <w:t xml:space="preserve"> </w:t>
      </w:r>
      <w:r>
        <w:rPr>
          <w:rFonts w:ascii="ArialMT" w:hAnsi="ArialMT" w:cs="ArialMT"/>
          <w:color w:val="000000"/>
          <w:sz w:val="20"/>
          <w:szCs w:val="20"/>
        </w:rPr>
        <w:t>toutefois de s'assurer que ces activités entrent bien dans le champ des missions de l'établissement</w:t>
      </w:r>
      <w:r w:rsidR="00C94968">
        <w:rPr>
          <w:rFonts w:ascii="Arial" w:hAnsi="Arial" w:cs="Arial"/>
          <w:i/>
          <w:iCs/>
          <w:color w:val="000000"/>
          <w:sz w:val="20"/>
          <w:szCs w:val="20"/>
        </w:rPr>
        <w:t xml:space="preserve"> </w:t>
      </w:r>
      <w:r>
        <w:rPr>
          <w:rFonts w:ascii="ArialMT" w:hAnsi="ArialMT" w:cs="ArialMT"/>
          <w:color w:val="000000"/>
          <w:sz w:val="20"/>
          <w:szCs w:val="20"/>
        </w:rPr>
        <w:t>public.</w:t>
      </w:r>
    </w:p>
    <w:sectPr w:rsidR="005E3E6B" w:rsidRPr="00C94968" w:rsidSect="00407D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3E6B"/>
    <w:rsid w:val="00407DC9"/>
    <w:rsid w:val="005E3E6B"/>
    <w:rsid w:val="00C9496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DC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803</Words>
  <Characters>4422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dc:creator>
  <cp:lastModifiedBy>fAMILLE</cp:lastModifiedBy>
  <cp:revision>1</cp:revision>
  <dcterms:created xsi:type="dcterms:W3CDTF">2011-12-27T17:12:00Z</dcterms:created>
  <dcterms:modified xsi:type="dcterms:W3CDTF">2011-12-27T17:25:00Z</dcterms:modified>
</cp:coreProperties>
</file>