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B6" w:rsidRPr="002753B6" w:rsidRDefault="002753B6" w:rsidP="002753B6">
      <w:pPr>
        <w:pStyle w:val="Default"/>
        <w:ind w:left="720"/>
        <w:rPr>
          <w:b/>
          <w:sz w:val="28"/>
          <w:szCs w:val="28"/>
        </w:rPr>
      </w:pPr>
      <w:r w:rsidRPr="002753B6">
        <w:rPr>
          <w:b/>
          <w:sz w:val="28"/>
          <w:szCs w:val="28"/>
        </w:rPr>
        <w:t>Durées d’amortissement.</w:t>
      </w:r>
    </w:p>
    <w:p w:rsidR="002753B6" w:rsidRPr="002753B6" w:rsidRDefault="002753B6" w:rsidP="002753B6">
      <w:pPr>
        <w:pStyle w:val="Default"/>
        <w:ind w:left="720"/>
        <w:rPr>
          <w:u w:val="single"/>
        </w:rPr>
      </w:pPr>
    </w:p>
    <w:p w:rsidR="002753B6" w:rsidRDefault="002753B6" w:rsidP="002753B6">
      <w:pPr>
        <w:pStyle w:val="Default"/>
        <w:jc w:val="both"/>
      </w:pPr>
      <w:r w:rsidRPr="002753B6">
        <w:t>La durée et le mode d’amortissement d’un bien sont déterminés selon l’utilisation qui est faite par l'établissement public local d’enseignement en fonction de ses caractéristiques. Le conseil d’administration doit déterminer la durée d’amortissement de l’actif.</w:t>
      </w:r>
    </w:p>
    <w:p w:rsidR="002753B6" w:rsidRPr="002753B6" w:rsidRDefault="002753B6" w:rsidP="002753B6">
      <w:pPr>
        <w:pStyle w:val="Default"/>
        <w:jc w:val="both"/>
      </w:pPr>
      <w:bookmarkStart w:id="0" w:name="_GoBack"/>
      <w:bookmarkEnd w:id="0"/>
    </w:p>
    <w:p w:rsidR="002753B6" w:rsidRDefault="002753B6" w:rsidP="002753B6">
      <w:pPr>
        <w:pStyle w:val="Default"/>
        <w:jc w:val="both"/>
      </w:pPr>
      <w:r w:rsidRPr="002753B6">
        <w:t>Il est proposé au conseil les durées d’amortissement suivantes valables pour le lycée et le GRETA :</w:t>
      </w:r>
    </w:p>
    <w:p w:rsidR="002753B6" w:rsidRPr="002753B6" w:rsidRDefault="002753B6" w:rsidP="002753B6">
      <w:pPr>
        <w:pStyle w:val="Default"/>
      </w:pPr>
    </w:p>
    <w:p w:rsidR="002753B6" w:rsidRPr="002753B6" w:rsidRDefault="002753B6" w:rsidP="002753B6">
      <w:pPr>
        <w:pStyle w:val="Default"/>
        <w:rPr>
          <w:b/>
          <w:i/>
          <w:iCs/>
        </w:rPr>
      </w:pPr>
    </w:p>
    <w:p w:rsidR="002753B6" w:rsidRDefault="002753B6" w:rsidP="002753B6">
      <w:pPr>
        <w:pStyle w:val="Default"/>
        <w:rPr>
          <w:b/>
          <w:bCs/>
        </w:rPr>
      </w:pPr>
      <w:r w:rsidRPr="002753B6">
        <w:rPr>
          <w:b/>
          <w:bCs/>
          <w:i/>
        </w:rPr>
        <w:t>Catégories d’immobilisations</w:t>
      </w:r>
      <w:r w:rsidRPr="002753B6">
        <w:rPr>
          <w:b/>
          <w:bCs/>
        </w:rPr>
        <w:t xml:space="preserve"> </w:t>
      </w:r>
      <w:r w:rsidRPr="002753B6">
        <w:rPr>
          <w:b/>
        </w:rPr>
        <w:t xml:space="preserve">         </w:t>
      </w:r>
      <w:r w:rsidRPr="002753B6">
        <w:rPr>
          <w:b/>
        </w:rPr>
        <w:tab/>
      </w:r>
      <w:r w:rsidRPr="002753B6">
        <w:rPr>
          <w:b/>
        </w:rPr>
        <w:tab/>
      </w:r>
      <w:r w:rsidRPr="002753B6">
        <w:rPr>
          <w:b/>
        </w:rPr>
        <w:tab/>
      </w:r>
      <w:r>
        <w:rPr>
          <w:b/>
        </w:rPr>
        <w:t xml:space="preserve">   </w:t>
      </w:r>
      <w:r w:rsidRPr="002753B6">
        <w:rPr>
          <w:b/>
        </w:rPr>
        <w:tab/>
        <w:t xml:space="preserve">    </w:t>
      </w:r>
      <w:r>
        <w:rPr>
          <w:b/>
        </w:rPr>
        <w:t xml:space="preserve">       </w:t>
      </w:r>
      <w:r w:rsidRPr="002753B6">
        <w:rPr>
          <w:b/>
        </w:rPr>
        <w:t xml:space="preserve"> </w:t>
      </w:r>
      <w:r w:rsidRPr="002753B6">
        <w:rPr>
          <w:b/>
          <w:bCs/>
          <w:i/>
        </w:rPr>
        <w:t>Durée   d’amortissement</w:t>
      </w:r>
      <w:r w:rsidRPr="002753B6">
        <w:rPr>
          <w:b/>
          <w:bCs/>
        </w:rPr>
        <w:t xml:space="preserve"> </w:t>
      </w:r>
    </w:p>
    <w:p w:rsidR="002753B6" w:rsidRPr="002753B6" w:rsidRDefault="002753B6" w:rsidP="002753B6">
      <w:pPr>
        <w:pStyle w:val="Default"/>
        <w:rPr>
          <w:b/>
          <w:bCs/>
        </w:rPr>
      </w:pPr>
    </w:p>
    <w:p w:rsidR="002753B6" w:rsidRPr="002753B6" w:rsidRDefault="002753B6" w:rsidP="002753B6">
      <w:pPr>
        <w:pStyle w:val="Default"/>
      </w:pPr>
      <w:r w:rsidRPr="002753B6">
        <w:t>Tous Immeubles</w:t>
      </w:r>
      <w:r w:rsidRPr="002753B6">
        <w:tab/>
      </w:r>
      <w:r w:rsidRPr="002753B6">
        <w:tab/>
      </w:r>
      <w:r w:rsidRPr="002753B6">
        <w:tab/>
      </w:r>
      <w:r w:rsidRPr="002753B6">
        <w:tab/>
      </w:r>
      <w:r w:rsidRPr="002753B6">
        <w:tab/>
      </w:r>
      <w:r w:rsidRPr="002753B6">
        <w:tab/>
      </w:r>
      <w:r w:rsidRPr="002753B6">
        <w:tab/>
      </w:r>
      <w:r w:rsidRPr="002753B6">
        <w:tab/>
      </w:r>
      <w:r>
        <w:tab/>
      </w:r>
      <w:r w:rsidRPr="002753B6">
        <w:t xml:space="preserve">25 ans </w:t>
      </w:r>
    </w:p>
    <w:p w:rsidR="002753B6" w:rsidRPr="002753B6" w:rsidRDefault="002753B6" w:rsidP="002753B6">
      <w:pPr>
        <w:pStyle w:val="Default"/>
      </w:pPr>
      <w:r w:rsidRPr="002753B6">
        <w:t xml:space="preserve">Bâtiments légers </w:t>
      </w:r>
      <w:r w:rsidRPr="002753B6">
        <w:tab/>
      </w:r>
      <w:r w:rsidRPr="002753B6">
        <w:tab/>
      </w:r>
      <w:r w:rsidRPr="002753B6">
        <w:tab/>
      </w:r>
      <w:r w:rsidRPr="002753B6">
        <w:tab/>
      </w:r>
      <w:r w:rsidRPr="002753B6">
        <w:tab/>
      </w:r>
      <w:r w:rsidRPr="002753B6">
        <w:tab/>
      </w:r>
      <w:r w:rsidRPr="002753B6">
        <w:tab/>
      </w:r>
      <w:r w:rsidRPr="002753B6">
        <w:tab/>
      </w:r>
      <w:r>
        <w:tab/>
      </w:r>
      <w:r w:rsidRPr="002753B6">
        <w:t xml:space="preserve">10 ans </w:t>
      </w:r>
    </w:p>
    <w:p w:rsidR="002753B6" w:rsidRPr="002753B6" w:rsidRDefault="002753B6" w:rsidP="002753B6">
      <w:pPr>
        <w:pStyle w:val="Default"/>
      </w:pPr>
      <w:r w:rsidRPr="002753B6">
        <w:t>Aménagements intérieurs ou extérieurs</w:t>
      </w:r>
      <w:r w:rsidRPr="002753B6">
        <w:tab/>
      </w:r>
      <w:r w:rsidRPr="002753B6">
        <w:tab/>
      </w:r>
      <w:r w:rsidRPr="002753B6">
        <w:tab/>
      </w:r>
      <w:r w:rsidRPr="002753B6">
        <w:tab/>
      </w:r>
      <w:r w:rsidRPr="002753B6">
        <w:tab/>
      </w:r>
      <w:r>
        <w:tab/>
      </w:r>
      <w:r w:rsidRPr="002753B6">
        <w:t>10 ans</w:t>
      </w:r>
    </w:p>
    <w:p w:rsidR="002753B6" w:rsidRPr="002753B6" w:rsidRDefault="002753B6" w:rsidP="002753B6">
      <w:pPr>
        <w:pStyle w:val="Default"/>
      </w:pPr>
      <w:r w:rsidRPr="002753B6">
        <w:t xml:space="preserve">Matériel industriel, de restauration, d’entretien et de maintenance </w:t>
      </w:r>
      <w:r w:rsidRPr="002753B6">
        <w:tab/>
      </w:r>
      <w:r w:rsidRPr="002753B6">
        <w:tab/>
        <w:t xml:space="preserve">10 ans </w:t>
      </w:r>
    </w:p>
    <w:p w:rsidR="002753B6" w:rsidRPr="002753B6" w:rsidRDefault="002753B6" w:rsidP="002753B6">
      <w:pPr>
        <w:pStyle w:val="Default"/>
      </w:pPr>
      <w:r w:rsidRPr="002753B6">
        <w:t xml:space="preserve">Mobilier notamment de bureau, d’enseignement ou d’internat </w:t>
      </w:r>
      <w:r w:rsidRPr="002753B6">
        <w:tab/>
      </w:r>
      <w:r w:rsidRPr="002753B6">
        <w:tab/>
      </w:r>
      <w:r w:rsidRPr="002753B6">
        <w:tab/>
        <w:t xml:space="preserve">10 ans </w:t>
      </w:r>
    </w:p>
    <w:p w:rsidR="002753B6" w:rsidRPr="002753B6" w:rsidRDefault="002753B6" w:rsidP="002753B6">
      <w:pPr>
        <w:pStyle w:val="Default"/>
      </w:pPr>
      <w:r w:rsidRPr="002753B6">
        <w:t>Matériel bureautique, reprographie, audio-visuel</w:t>
      </w:r>
      <w:r w:rsidRPr="002753B6">
        <w:tab/>
        <w:t xml:space="preserve"> </w:t>
      </w:r>
      <w:r w:rsidRPr="002753B6">
        <w:tab/>
      </w:r>
      <w:r w:rsidRPr="002753B6">
        <w:tab/>
      </w:r>
      <w:r w:rsidRPr="002753B6">
        <w:tab/>
        <w:t xml:space="preserve"> </w:t>
      </w:r>
      <w:r>
        <w:tab/>
      </w:r>
      <w:r w:rsidRPr="002753B6">
        <w:t xml:space="preserve"> </w:t>
      </w:r>
      <w:r>
        <w:t xml:space="preserve"> </w:t>
      </w:r>
      <w:r w:rsidRPr="002753B6">
        <w:t>5 ans</w:t>
      </w:r>
    </w:p>
    <w:p w:rsidR="002753B6" w:rsidRPr="002753B6" w:rsidRDefault="002753B6" w:rsidP="002753B6">
      <w:pPr>
        <w:pStyle w:val="Default"/>
      </w:pPr>
      <w:r w:rsidRPr="002753B6">
        <w:t>Autres matériels d’enseignement</w:t>
      </w:r>
      <w:r w:rsidRPr="002753B6">
        <w:tab/>
      </w:r>
      <w:r w:rsidRPr="002753B6">
        <w:tab/>
      </w:r>
      <w:r w:rsidRPr="002753B6">
        <w:tab/>
      </w:r>
      <w:r w:rsidRPr="002753B6">
        <w:tab/>
      </w:r>
      <w:r w:rsidRPr="002753B6">
        <w:tab/>
      </w:r>
      <w:r w:rsidRPr="002753B6">
        <w:tab/>
        <w:t xml:space="preserve"> </w:t>
      </w:r>
      <w:r>
        <w:tab/>
      </w:r>
      <w:r w:rsidRPr="002753B6">
        <w:t xml:space="preserve"> </w:t>
      </w:r>
      <w:r>
        <w:t xml:space="preserve"> </w:t>
      </w:r>
      <w:r w:rsidRPr="002753B6">
        <w:t>5 ans</w:t>
      </w:r>
    </w:p>
    <w:p w:rsidR="002753B6" w:rsidRPr="002753B6" w:rsidRDefault="002753B6" w:rsidP="002753B6">
      <w:pPr>
        <w:pStyle w:val="Default"/>
      </w:pPr>
      <w:r w:rsidRPr="002753B6">
        <w:t>Véhicules automobiles, tondeuses</w:t>
      </w:r>
      <w:r w:rsidRPr="002753B6">
        <w:tab/>
      </w:r>
      <w:r w:rsidRPr="002753B6">
        <w:tab/>
      </w:r>
      <w:r w:rsidRPr="002753B6">
        <w:tab/>
      </w:r>
      <w:r w:rsidRPr="002753B6">
        <w:tab/>
        <w:t xml:space="preserve">  </w:t>
      </w:r>
      <w:r w:rsidRPr="002753B6">
        <w:tab/>
      </w:r>
      <w:r w:rsidRPr="002753B6">
        <w:tab/>
        <w:t xml:space="preserve">  </w:t>
      </w:r>
      <w:r>
        <w:tab/>
        <w:t xml:space="preserve">  </w:t>
      </w:r>
      <w:r w:rsidRPr="002753B6">
        <w:t xml:space="preserve">5 ans </w:t>
      </w:r>
    </w:p>
    <w:p w:rsidR="002753B6" w:rsidRPr="002753B6" w:rsidRDefault="002753B6" w:rsidP="002753B6">
      <w:pPr>
        <w:pStyle w:val="Default"/>
      </w:pPr>
      <w:r w:rsidRPr="002753B6">
        <w:t xml:space="preserve">Matériel informatique </w:t>
      </w:r>
      <w:r w:rsidRPr="002753B6">
        <w:tab/>
      </w:r>
      <w:r w:rsidRPr="002753B6">
        <w:tab/>
      </w:r>
      <w:r w:rsidRPr="002753B6">
        <w:tab/>
      </w:r>
      <w:r w:rsidRPr="002753B6">
        <w:tab/>
      </w:r>
      <w:r w:rsidRPr="002753B6">
        <w:tab/>
      </w:r>
      <w:r w:rsidRPr="002753B6">
        <w:tab/>
      </w:r>
      <w:r w:rsidRPr="002753B6">
        <w:tab/>
      </w:r>
      <w:r w:rsidRPr="002753B6">
        <w:tab/>
        <w:t xml:space="preserve">  </w:t>
      </w:r>
      <w:r>
        <w:t xml:space="preserve"> </w:t>
      </w:r>
      <w:r w:rsidRPr="002753B6">
        <w:t xml:space="preserve">3 ans </w:t>
      </w:r>
    </w:p>
    <w:p w:rsidR="002753B6" w:rsidRPr="002753B6" w:rsidRDefault="002753B6" w:rsidP="002753B6">
      <w:pPr>
        <w:pStyle w:val="Default"/>
      </w:pPr>
      <w:r w:rsidRPr="002753B6">
        <w:t xml:space="preserve">Logiciels informatiques </w:t>
      </w:r>
      <w:r w:rsidRPr="002753B6">
        <w:tab/>
      </w:r>
      <w:r w:rsidRPr="002753B6">
        <w:tab/>
      </w:r>
      <w:r w:rsidRPr="002753B6">
        <w:tab/>
      </w:r>
      <w:r w:rsidRPr="002753B6">
        <w:tab/>
      </w:r>
      <w:r w:rsidRPr="002753B6">
        <w:tab/>
      </w:r>
      <w:r w:rsidRPr="002753B6">
        <w:tab/>
      </w:r>
      <w:r w:rsidRPr="002753B6">
        <w:tab/>
      </w:r>
      <w:r w:rsidRPr="002753B6">
        <w:tab/>
        <w:t xml:space="preserve"> </w:t>
      </w:r>
      <w:r>
        <w:t xml:space="preserve"> </w:t>
      </w:r>
      <w:r w:rsidRPr="002753B6">
        <w:t xml:space="preserve"> 3 ans</w:t>
      </w:r>
    </w:p>
    <w:p w:rsidR="00FB4417" w:rsidRPr="002753B6" w:rsidRDefault="006464BA">
      <w:pPr>
        <w:rPr>
          <w:sz w:val="24"/>
          <w:szCs w:val="24"/>
        </w:rPr>
      </w:pPr>
    </w:p>
    <w:sectPr w:rsidR="00FB4417" w:rsidRPr="002753B6" w:rsidSect="00A7349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6572"/>
    <w:multiLevelType w:val="hybridMultilevel"/>
    <w:tmpl w:val="0840BF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753B6"/>
    <w:rsid w:val="000E1BFA"/>
    <w:rsid w:val="00170101"/>
    <w:rsid w:val="00220498"/>
    <w:rsid w:val="002260E7"/>
    <w:rsid w:val="002753B6"/>
    <w:rsid w:val="002757FF"/>
    <w:rsid w:val="0031338F"/>
    <w:rsid w:val="00432CCA"/>
    <w:rsid w:val="005D0480"/>
    <w:rsid w:val="006464BA"/>
    <w:rsid w:val="0072086A"/>
    <w:rsid w:val="007E2342"/>
    <w:rsid w:val="00947315"/>
    <w:rsid w:val="009C0EE7"/>
    <w:rsid w:val="009F73DF"/>
    <w:rsid w:val="00A34391"/>
    <w:rsid w:val="00A416B2"/>
    <w:rsid w:val="00A7349A"/>
    <w:rsid w:val="00AD0C38"/>
    <w:rsid w:val="00BF4C86"/>
    <w:rsid w:val="00C371F0"/>
    <w:rsid w:val="00C43811"/>
    <w:rsid w:val="00C52C5C"/>
    <w:rsid w:val="00D140FC"/>
    <w:rsid w:val="00D26E15"/>
    <w:rsid w:val="00D60BD8"/>
    <w:rsid w:val="00DB5786"/>
    <w:rsid w:val="00DF648E"/>
    <w:rsid w:val="00EB31E6"/>
    <w:rsid w:val="00EC19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49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53B6"/>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53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830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N@n@rd</dc:creator>
  <cp:lastModifiedBy>bernard blanc</cp:lastModifiedBy>
  <cp:revision>2</cp:revision>
  <dcterms:created xsi:type="dcterms:W3CDTF">2012-11-21T19:09:00Z</dcterms:created>
  <dcterms:modified xsi:type="dcterms:W3CDTF">2012-11-21T19:09:00Z</dcterms:modified>
</cp:coreProperties>
</file>